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1152177203"/>
        <w:placeholder>
          <w:docPart w:val="D58FEF03D827482DB817C1F1032720BF"/>
        </w:placeholder>
        <w:dataBinding w:prefixMappings="xmlns:ns0='http://purl.org/dc/elements/1.1/' xmlns:ns1='http://schemas.openxmlformats.org/package/2006/metadata/core-properties' " w:xpath="/ns1:coreProperties[1]/ns0:title[1]" w:storeItemID="{6C3C8BC8-F283-45AE-878A-BAB7291924A1}"/>
        <w:text/>
      </w:sdtPr>
      <w:sdtEndPr/>
      <w:sdtContent>
        <w:p w:rsidR="00AF45AA" w:rsidRPr="00621123" w:rsidRDefault="00C74B35" w:rsidP="00AF3EBE">
          <w:pPr>
            <w:pStyle w:val="Title"/>
          </w:pPr>
          <w:r>
            <w:t>Annual Plan</w:t>
          </w:r>
        </w:p>
      </w:sdtContent>
    </w:sdt>
    <w:sdt>
      <w:sdtPr>
        <w:alias w:val="Subject"/>
        <w:tag w:val=""/>
        <w:id w:val="1317998415"/>
        <w:placeholder>
          <w:docPart w:val="9FA3380F977A4D58917474D3572256AB"/>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b w:val="0"/>
        </w:rPr>
      </w:sdtEndPr>
      <w:sdtContent>
        <w:p w:rsidR="00AF3EBE" w:rsidRPr="00621123" w:rsidRDefault="00C74B35" w:rsidP="005E733C">
          <w:pPr>
            <w:pStyle w:val="Subtitle"/>
            <w:rPr>
              <w:rStyle w:val="SubtitleChar"/>
            </w:rPr>
          </w:pPr>
          <w:r>
            <w:t>2022-2023</w:t>
          </w:r>
        </w:p>
      </w:sdtContent>
    </w:sdt>
    <w:p w:rsidR="008602E2" w:rsidRPr="00621123" w:rsidRDefault="008602E2" w:rsidP="00AF3EBE">
      <w:pPr>
        <w:sectPr w:rsidR="008602E2" w:rsidRPr="00621123" w:rsidSect="00E7077C">
          <w:headerReference w:type="even" r:id="rId8"/>
          <w:headerReference w:type="default" r:id="rId9"/>
          <w:footerReference w:type="even" r:id="rId10"/>
          <w:footerReference w:type="default" r:id="rId11"/>
          <w:headerReference w:type="first" r:id="rId12"/>
          <w:footerReference w:type="first" r:id="rId13"/>
          <w:pgSz w:w="11906" w:h="16838" w:code="9"/>
          <w:pgMar w:top="3828" w:right="3826" w:bottom="720" w:left="720" w:header="794" w:footer="851" w:gutter="0"/>
          <w:cols w:space="708"/>
          <w:docGrid w:linePitch="360"/>
        </w:sectPr>
      </w:pPr>
    </w:p>
    <w:sdt>
      <w:sdtPr>
        <w:rPr>
          <w:rFonts w:asciiTheme="minorHAnsi" w:eastAsiaTheme="minorHAnsi" w:hAnsiTheme="minorHAnsi" w:cstheme="minorBidi"/>
          <w:b w:val="0"/>
          <w:noProof w:val="0"/>
          <w:sz w:val="24"/>
          <w:szCs w:val="24"/>
          <w:lang w:val="en-GB"/>
        </w:rPr>
        <w:id w:val="1522436123"/>
        <w:docPartObj>
          <w:docPartGallery w:val="Table of Contents"/>
          <w:docPartUnique/>
        </w:docPartObj>
      </w:sdtPr>
      <w:sdtEndPr>
        <w:rPr>
          <w:bCs/>
        </w:rPr>
      </w:sdtEndPr>
      <w:sdtContent>
        <w:p w:rsidR="0027047C" w:rsidRPr="00621123" w:rsidRDefault="0027047C" w:rsidP="00CD1882">
          <w:pPr>
            <w:pStyle w:val="TOCHeading"/>
            <w:spacing w:after="240"/>
            <w:rPr>
              <w:noProof w:val="0"/>
              <w:lang w:val="en-GB"/>
            </w:rPr>
          </w:pPr>
          <w:r w:rsidRPr="00621123">
            <w:rPr>
              <w:noProof w:val="0"/>
              <w:lang w:val="en-GB"/>
            </w:rPr>
            <w:t>Contents</w:t>
          </w:r>
        </w:p>
        <w:p w:rsidR="00500A82" w:rsidRDefault="0027047C">
          <w:pPr>
            <w:pStyle w:val="TOC1"/>
            <w:tabs>
              <w:tab w:val="right" w:pos="10456"/>
            </w:tabs>
            <w:rPr>
              <w:rFonts w:eastAsiaTheme="minorEastAsia"/>
              <w:noProof/>
              <w:sz w:val="22"/>
              <w:szCs w:val="22"/>
              <w:lang w:eastAsia="en-GB"/>
            </w:rPr>
          </w:pPr>
          <w:r w:rsidRPr="00621123">
            <w:fldChar w:fldCharType="begin"/>
          </w:r>
          <w:r w:rsidRPr="00621123">
            <w:instrText xml:space="preserve"> TOC \o "1-</w:instrText>
          </w:r>
          <w:r w:rsidR="009C0424">
            <w:instrText>3</w:instrText>
          </w:r>
          <w:r w:rsidRPr="00621123">
            <w:instrText xml:space="preserve">" \h \z \u </w:instrText>
          </w:r>
          <w:r w:rsidRPr="00621123">
            <w:fldChar w:fldCharType="separate"/>
          </w:r>
          <w:hyperlink w:anchor="_Toc103861432" w:history="1">
            <w:r w:rsidR="00500A82" w:rsidRPr="00C446D0">
              <w:rPr>
                <w:rStyle w:val="Hyperlink"/>
                <w:noProof/>
              </w:rPr>
              <w:t>Introduction</w:t>
            </w:r>
            <w:r w:rsidR="00500A82">
              <w:rPr>
                <w:noProof/>
                <w:webHidden/>
              </w:rPr>
              <w:tab/>
            </w:r>
            <w:r w:rsidR="00500A82">
              <w:rPr>
                <w:noProof/>
                <w:webHidden/>
              </w:rPr>
              <w:fldChar w:fldCharType="begin"/>
            </w:r>
            <w:r w:rsidR="00500A82">
              <w:rPr>
                <w:noProof/>
                <w:webHidden/>
              </w:rPr>
              <w:instrText xml:space="preserve"> PAGEREF _Toc103861432 \h </w:instrText>
            </w:r>
            <w:r w:rsidR="00500A82">
              <w:rPr>
                <w:noProof/>
                <w:webHidden/>
              </w:rPr>
            </w:r>
            <w:r w:rsidR="00500A82">
              <w:rPr>
                <w:noProof/>
                <w:webHidden/>
              </w:rPr>
              <w:fldChar w:fldCharType="separate"/>
            </w:r>
            <w:r w:rsidR="00500A82">
              <w:rPr>
                <w:noProof/>
                <w:webHidden/>
              </w:rPr>
              <w:t>3</w:t>
            </w:r>
            <w:r w:rsidR="00500A82">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33" w:history="1">
            <w:r w:rsidRPr="00C446D0">
              <w:rPr>
                <w:rStyle w:val="Hyperlink"/>
                <w:noProof/>
              </w:rPr>
              <w:t>COVID-19 Pandemic</w:t>
            </w:r>
            <w:r>
              <w:rPr>
                <w:noProof/>
                <w:webHidden/>
              </w:rPr>
              <w:tab/>
            </w:r>
            <w:r>
              <w:rPr>
                <w:noProof/>
                <w:webHidden/>
              </w:rPr>
              <w:fldChar w:fldCharType="begin"/>
            </w:r>
            <w:r>
              <w:rPr>
                <w:noProof/>
                <w:webHidden/>
              </w:rPr>
              <w:instrText xml:space="preserve"> PAGEREF _Toc103861433 \h </w:instrText>
            </w:r>
            <w:r>
              <w:rPr>
                <w:noProof/>
                <w:webHidden/>
              </w:rPr>
            </w:r>
            <w:r>
              <w:rPr>
                <w:noProof/>
                <w:webHidden/>
              </w:rPr>
              <w:fldChar w:fldCharType="separate"/>
            </w:r>
            <w:r>
              <w:rPr>
                <w:noProof/>
                <w:webHidden/>
              </w:rPr>
              <w:t>3</w:t>
            </w:r>
            <w:r>
              <w:rPr>
                <w:noProof/>
                <w:webHidden/>
              </w:rPr>
              <w:fldChar w:fldCharType="end"/>
            </w:r>
          </w:hyperlink>
        </w:p>
        <w:p w:rsidR="00500A82" w:rsidRDefault="00500A82">
          <w:pPr>
            <w:pStyle w:val="TOC1"/>
            <w:tabs>
              <w:tab w:val="right" w:pos="10456"/>
            </w:tabs>
            <w:rPr>
              <w:rFonts w:eastAsiaTheme="minorEastAsia"/>
              <w:noProof/>
              <w:sz w:val="22"/>
              <w:szCs w:val="22"/>
              <w:lang w:eastAsia="en-GB"/>
            </w:rPr>
          </w:pPr>
          <w:hyperlink w:anchor="_Toc103861434" w:history="1">
            <w:r w:rsidRPr="00C446D0">
              <w:rPr>
                <w:rStyle w:val="Hyperlink"/>
                <w:noProof/>
              </w:rPr>
              <w:t>ANNUAL OBJECTIVES 2022 - 2023</w:t>
            </w:r>
            <w:r>
              <w:rPr>
                <w:noProof/>
                <w:webHidden/>
              </w:rPr>
              <w:tab/>
            </w:r>
            <w:r>
              <w:rPr>
                <w:noProof/>
                <w:webHidden/>
              </w:rPr>
              <w:fldChar w:fldCharType="begin"/>
            </w:r>
            <w:r>
              <w:rPr>
                <w:noProof/>
                <w:webHidden/>
              </w:rPr>
              <w:instrText xml:space="preserve"> PAGEREF _Toc103861434 \h </w:instrText>
            </w:r>
            <w:r>
              <w:rPr>
                <w:noProof/>
                <w:webHidden/>
              </w:rPr>
            </w:r>
            <w:r>
              <w:rPr>
                <w:noProof/>
                <w:webHidden/>
              </w:rPr>
              <w:fldChar w:fldCharType="separate"/>
            </w:r>
            <w:r>
              <w:rPr>
                <w:noProof/>
                <w:webHidden/>
              </w:rPr>
              <w:t>4</w:t>
            </w:r>
            <w:r>
              <w:rPr>
                <w:noProof/>
                <w:webHidden/>
              </w:rPr>
              <w:fldChar w:fldCharType="end"/>
            </w:r>
          </w:hyperlink>
        </w:p>
        <w:p w:rsidR="00500A82" w:rsidRDefault="00500A82">
          <w:pPr>
            <w:pStyle w:val="TOC1"/>
            <w:tabs>
              <w:tab w:val="right" w:pos="10456"/>
            </w:tabs>
            <w:rPr>
              <w:rFonts w:eastAsiaTheme="minorEastAsia"/>
              <w:noProof/>
              <w:sz w:val="22"/>
              <w:szCs w:val="22"/>
              <w:lang w:eastAsia="en-GB"/>
            </w:rPr>
          </w:pPr>
          <w:hyperlink w:anchor="_Toc103861435" w:history="1">
            <w:r w:rsidRPr="00C446D0">
              <w:rPr>
                <w:rStyle w:val="Hyperlink"/>
                <w:noProof/>
              </w:rPr>
              <w:t>Delivery of the Annual Objectives</w:t>
            </w:r>
            <w:r>
              <w:rPr>
                <w:noProof/>
                <w:webHidden/>
              </w:rPr>
              <w:tab/>
            </w:r>
            <w:r>
              <w:rPr>
                <w:noProof/>
                <w:webHidden/>
              </w:rPr>
              <w:fldChar w:fldCharType="begin"/>
            </w:r>
            <w:r>
              <w:rPr>
                <w:noProof/>
                <w:webHidden/>
              </w:rPr>
              <w:instrText xml:space="preserve"> PAGEREF _Toc103861435 \h </w:instrText>
            </w:r>
            <w:r>
              <w:rPr>
                <w:noProof/>
                <w:webHidden/>
              </w:rPr>
            </w:r>
            <w:r>
              <w:rPr>
                <w:noProof/>
                <w:webHidden/>
              </w:rPr>
              <w:fldChar w:fldCharType="separate"/>
            </w:r>
            <w:r>
              <w:rPr>
                <w:noProof/>
                <w:webHidden/>
              </w:rPr>
              <w:t>8</w:t>
            </w:r>
            <w:r>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36" w:history="1">
            <w:r w:rsidRPr="00C446D0">
              <w:rPr>
                <w:rStyle w:val="Hyperlink"/>
                <w:noProof/>
              </w:rPr>
              <w:t>Service Plans</w:t>
            </w:r>
            <w:r>
              <w:rPr>
                <w:noProof/>
                <w:webHidden/>
              </w:rPr>
              <w:tab/>
            </w:r>
            <w:r>
              <w:rPr>
                <w:noProof/>
                <w:webHidden/>
              </w:rPr>
              <w:fldChar w:fldCharType="begin"/>
            </w:r>
            <w:r>
              <w:rPr>
                <w:noProof/>
                <w:webHidden/>
              </w:rPr>
              <w:instrText xml:space="preserve"> PAGEREF _Toc103861436 \h </w:instrText>
            </w:r>
            <w:r>
              <w:rPr>
                <w:noProof/>
                <w:webHidden/>
              </w:rPr>
            </w:r>
            <w:r>
              <w:rPr>
                <w:noProof/>
                <w:webHidden/>
              </w:rPr>
              <w:fldChar w:fldCharType="separate"/>
            </w:r>
            <w:r>
              <w:rPr>
                <w:noProof/>
                <w:webHidden/>
              </w:rPr>
              <w:t>8</w:t>
            </w:r>
            <w:r>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37" w:history="1">
            <w:r w:rsidRPr="00C446D0">
              <w:rPr>
                <w:rStyle w:val="Hyperlink"/>
                <w:noProof/>
              </w:rPr>
              <w:t>Local Safety Plans</w:t>
            </w:r>
            <w:r>
              <w:rPr>
                <w:noProof/>
                <w:webHidden/>
              </w:rPr>
              <w:tab/>
            </w:r>
            <w:r>
              <w:rPr>
                <w:noProof/>
                <w:webHidden/>
              </w:rPr>
              <w:fldChar w:fldCharType="begin"/>
            </w:r>
            <w:r>
              <w:rPr>
                <w:noProof/>
                <w:webHidden/>
              </w:rPr>
              <w:instrText xml:space="preserve"> PAGEREF _Toc103861437 \h </w:instrText>
            </w:r>
            <w:r>
              <w:rPr>
                <w:noProof/>
                <w:webHidden/>
              </w:rPr>
            </w:r>
            <w:r>
              <w:rPr>
                <w:noProof/>
                <w:webHidden/>
              </w:rPr>
              <w:fldChar w:fldCharType="separate"/>
            </w:r>
            <w:r>
              <w:rPr>
                <w:noProof/>
                <w:webHidden/>
              </w:rPr>
              <w:t>8</w:t>
            </w:r>
            <w:r>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38" w:history="1">
            <w:r w:rsidRPr="00C446D0">
              <w:rPr>
                <w:rStyle w:val="Hyperlink"/>
                <w:noProof/>
              </w:rPr>
              <w:t>Programme Board</w:t>
            </w:r>
            <w:r>
              <w:rPr>
                <w:noProof/>
                <w:webHidden/>
              </w:rPr>
              <w:tab/>
            </w:r>
            <w:r>
              <w:rPr>
                <w:noProof/>
                <w:webHidden/>
              </w:rPr>
              <w:fldChar w:fldCharType="begin"/>
            </w:r>
            <w:r>
              <w:rPr>
                <w:noProof/>
                <w:webHidden/>
              </w:rPr>
              <w:instrText xml:space="preserve"> PAGEREF _Toc103861438 \h </w:instrText>
            </w:r>
            <w:r>
              <w:rPr>
                <w:noProof/>
                <w:webHidden/>
              </w:rPr>
            </w:r>
            <w:r>
              <w:rPr>
                <w:noProof/>
                <w:webHidden/>
              </w:rPr>
              <w:fldChar w:fldCharType="separate"/>
            </w:r>
            <w:r>
              <w:rPr>
                <w:noProof/>
                <w:webHidden/>
              </w:rPr>
              <w:t>9</w:t>
            </w:r>
            <w:r>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39" w:history="1">
            <w:r w:rsidRPr="00C446D0">
              <w:rPr>
                <w:rStyle w:val="Hyperlink"/>
                <w:noProof/>
              </w:rPr>
              <w:t>Performance Management</w:t>
            </w:r>
            <w:r>
              <w:rPr>
                <w:noProof/>
                <w:webHidden/>
              </w:rPr>
              <w:tab/>
            </w:r>
            <w:r>
              <w:rPr>
                <w:noProof/>
                <w:webHidden/>
              </w:rPr>
              <w:fldChar w:fldCharType="begin"/>
            </w:r>
            <w:r>
              <w:rPr>
                <w:noProof/>
                <w:webHidden/>
              </w:rPr>
              <w:instrText xml:space="preserve"> PAGEREF _Toc103861439 \h </w:instrText>
            </w:r>
            <w:r>
              <w:rPr>
                <w:noProof/>
                <w:webHidden/>
              </w:rPr>
            </w:r>
            <w:r>
              <w:rPr>
                <w:noProof/>
                <w:webHidden/>
              </w:rPr>
              <w:fldChar w:fldCharType="separate"/>
            </w:r>
            <w:r>
              <w:rPr>
                <w:noProof/>
                <w:webHidden/>
              </w:rPr>
              <w:t>9</w:t>
            </w:r>
            <w:r>
              <w:rPr>
                <w:noProof/>
                <w:webHidden/>
              </w:rPr>
              <w:fldChar w:fldCharType="end"/>
            </w:r>
          </w:hyperlink>
        </w:p>
        <w:p w:rsidR="00500A82" w:rsidRDefault="00500A82">
          <w:pPr>
            <w:pStyle w:val="TOC1"/>
            <w:tabs>
              <w:tab w:val="right" w:pos="10456"/>
            </w:tabs>
            <w:rPr>
              <w:rFonts w:eastAsiaTheme="minorEastAsia"/>
              <w:noProof/>
              <w:sz w:val="22"/>
              <w:szCs w:val="22"/>
              <w:lang w:eastAsia="en-GB"/>
            </w:rPr>
          </w:pPr>
          <w:hyperlink w:anchor="_Toc103861440" w:history="1">
            <w:r w:rsidRPr="00C446D0">
              <w:rPr>
                <w:rStyle w:val="Hyperlink"/>
                <w:noProof/>
              </w:rPr>
              <w:t>CORPORATE MEASURES</w:t>
            </w:r>
            <w:r>
              <w:rPr>
                <w:noProof/>
                <w:webHidden/>
              </w:rPr>
              <w:tab/>
            </w:r>
            <w:r>
              <w:rPr>
                <w:noProof/>
                <w:webHidden/>
              </w:rPr>
              <w:fldChar w:fldCharType="begin"/>
            </w:r>
            <w:r>
              <w:rPr>
                <w:noProof/>
                <w:webHidden/>
              </w:rPr>
              <w:instrText xml:space="preserve"> PAGEREF _Toc103861440 \h </w:instrText>
            </w:r>
            <w:r>
              <w:rPr>
                <w:noProof/>
                <w:webHidden/>
              </w:rPr>
            </w:r>
            <w:r>
              <w:rPr>
                <w:noProof/>
                <w:webHidden/>
              </w:rPr>
              <w:fldChar w:fldCharType="separate"/>
            </w:r>
            <w:r>
              <w:rPr>
                <w:noProof/>
                <w:webHidden/>
              </w:rPr>
              <w:t>10</w:t>
            </w:r>
            <w:r>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41" w:history="1">
            <w:r w:rsidRPr="00C446D0">
              <w:rPr>
                <w:rStyle w:val="Hyperlink"/>
                <w:noProof/>
              </w:rPr>
              <w:t>Service Provision</w:t>
            </w:r>
            <w:r>
              <w:rPr>
                <w:noProof/>
                <w:webHidden/>
              </w:rPr>
              <w:tab/>
            </w:r>
            <w:r>
              <w:rPr>
                <w:noProof/>
                <w:webHidden/>
              </w:rPr>
              <w:fldChar w:fldCharType="begin"/>
            </w:r>
            <w:r>
              <w:rPr>
                <w:noProof/>
                <w:webHidden/>
              </w:rPr>
              <w:instrText xml:space="preserve"> PAGEREF _Toc103861441 \h </w:instrText>
            </w:r>
            <w:r>
              <w:rPr>
                <w:noProof/>
                <w:webHidden/>
              </w:rPr>
            </w:r>
            <w:r>
              <w:rPr>
                <w:noProof/>
                <w:webHidden/>
              </w:rPr>
              <w:fldChar w:fldCharType="separate"/>
            </w:r>
            <w:r>
              <w:rPr>
                <w:noProof/>
                <w:webHidden/>
              </w:rPr>
              <w:t>10</w:t>
            </w:r>
            <w:r>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42" w:history="1">
            <w:r w:rsidRPr="00C446D0">
              <w:rPr>
                <w:rStyle w:val="Hyperlink"/>
                <w:noProof/>
              </w:rPr>
              <w:t>Corporate Health</w:t>
            </w:r>
            <w:r>
              <w:rPr>
                <w:noProof/>
                <w:webHidden/>
              </w:rPr>
              <w:tab/>
            </w:r>
            <w:r>
              <w:rPr>
                <w:noProof/>
                <w:webHidden/>
              </w:rPr>
              <w:fldChar w:fldCharType="begin"/>
            </w:r>
            <w:r>
              <w:rPr>
                <w:noProof/>
                <w:webHidden/>
              </w:rPr>
              <w:instrText xml:space="preserve"> PAGEREF _Toc103861442 \h </w:instrText>
            </w:r>
            <w:r>
              <w:rPr>
                <w:noProof/>
                <w:webHidden/>
              </w:rPr>
            </w:r>
            <w:r>
              <w:rPr>
                <w:noProof/>
                <w:webHidden/>
              </w:rPr>
              <w:fldChar w:fldCharType="separate"/>
            </w:r>
            <w:r>
              <w:rPr>
                <w:noProof/>
                <w:webHidden/>
              </w:rPr>
              <w:t>13</w:t>
            </w:r>
            <w:r>
              <w:rPr>
                <w:noProof/>
                <w:webHidden/>
              </w:rPr>
              <w:fldChar w:fldCharType="end"/>
            </w:r>
          </w:hyperlink>
        </w:p>
        <w:p w:rsidR="00500A82" w:rsidRDefault="00500A82">
          <w:pPr>
            <w:pStyle w:val="TOC1"/>
            <w:tabs>
              <w:tab w:val="right" w:pos="10456"/>
            </w:tabs>
            <w:rPr>
              <w:rFonts w:eastAsiaTheme="minorEastAsia"/>
              <w:noProof/>
              <w:sz w:val="22"/>
              <w:szCs w:val="22"/>
              <w:lang w:eastAsia="en-GB"/>
            </w:rPr>
          </w:pPr>
          <w:hyperlink w:anchor="_Toc103861443" w:history="1">
            <w:r w:rsidRPr="00C446D0">
              <w:rPr>
                <w:rStyle w:val="Hyperlink"/>
                <w:noProof/>
              </w:rPr>
              <w:t>Priority Programmes – Key Deliverables</w:t>
            </w:r>
            <w:r>
              <w:rPr>
                <w:noProof/>
                <w:webHidden/>
              </w:rPr>
              <w:tab/>
            </w:r>
            <w:r>
              <w:rPr>
                <w:noProof/>
                <w:webHidden/>
              </w:rPr>
              <w:fldChar w:fldCharType="begin"/>
            </w:r>
            <w:r>
              <w:rPr>
                <w:noProof/>
                <w:webHidden/>
              </w:rPr>
              <w:instrText xml:space="preserve"> PAGEREF _Toc103861443 \h </w:instrText>
            </w:r>
            <w:r>
              <w:rPr>
                <w:noProof/>
                <w:webHidden/>
              </w:rPr>
            </w:r>
            <w:r>
              <w:rPr>
                <w:noProof/>
                <w:webHidden/>
              </w:rPr>
              <w:fldChar w:fldCharType="separate"/>
            </w:r>
            <w:r>
              <w:rPr>
                <w:noProof/>
                <w:webHidden/>
              </w:rPr>
              <w:t>14</w:t>
            </w:r>
            <w:r>
              <w:rPr>
                <w:noProof/>
                <w:webHidden/>
              </w:rPr>
              <w:fldChar w:fldCharType="end"/>
            </w:r>
          </w:hyperlink>
        </w:p>
        <w:p w:rsidR="00500A82" w:rsidRDefault="00500A82">
          <w:pPr>
            <w:pStyle w:val="TOC2"/>
            <w:tabs>
              <w:tab w:val="right" w:pos="10456"/>
            </w:tabs>
            <w:rPr>
              <w:rFonts w:eastAsiaTheme="minorEastAsia"/>
              <w:noProof/>
              <w:sz w:val="22"/>
              <w:szCs w:val="22"/>
              <w:lang w:eastAsia="en-GB"/>
            </w:rPr>
          </w:pPr>
          <w:hyperlink w:anchor="_Toc103861444" w:history="1">
            <w:r w:rsidRPr="00C446D0">
              <w:rPr>
                <w:rStyle w:val="Hyperlink"/>
                <w:noProof/>
              </w:rPr>
              <w:t>Community Risk Management Planning</w:t>
            </w:r>
            <w:r>
              <w:rPr>
                <w:noProof/>
                <w:webHidden/>
              </w:rPr>
              <w:tab/>
            </w:r>
            <w:r>
              <w:rPr>
                <w:noProof/>
                <w:webHidden/>
              </w:rPr>
              <w:fldChar w:fldCharType="begin"/>
            </w:r>
            <w:r>
              <w:rPr>
                <w:noProof/>
                <w:webHidden/>
              </w:rPr>
              <w:instrText xml:space="preserve"> PAGEREF _Toc103861444 \h </w:instrText>
            </w:r>
            <w:r>
              <w:rPr>
                <w:noProof/>
                <w:webHidden/>
              </w:rPr>
            </w:r>
            <w:r>
              <w:rPr>
                <w:noProof/>
                <w:webHidden/>
              </w:rPr>
              <w:fldChar w:fldCharType="separate"/>
            </w:r>
            <w:r>
              <w:rPr>
                <w:noProof/>
                <w:webHidden/>
              </w:rPr>
              <w:t>14</w:t>
            </w:r>
            <w:r>
              <w:rPr>
                <w:noProof/>
                <w:webHidden/>
              </w:rPr>
              <w:fldChar w:fldCharType="end"/>
            </w:r>
          </w:hyperlink>
        </w:p>
        <w:p w:rsidR="00500A82" w:rsidRDefault="00500A82">
          <w:pPr>
            <w:pStyle w:val="TOC2"/>
            <w:tabs>
              <w:tab w:val="right" w:pos="10456"/>
            </w:tabs>
            <w:rPr>
              <w:rFonts w:eastAsiaTheme="minorEastAsia"/>
              <w:noProof/>
              <w:sz w:val="22"/>
              <w:szCs w:val="22"/>
              <w:lang w:eastAsia="en-GB"/>
            </w:rPr>
          </w:pPr>
          <w:hyperlink w:anchor="_Toc103861445" w:history="1">
            <w:r w:rsidRPr="00C446D0">
              <w:rPr>
                <w:rStyle w:val="Hyperlink"/>
                <w:noProof/>
              </w:rPr>
              <w:t>People Strategy</w:t>
            </w:r>
            <w:r>
              <w:rPr>
                <w:noProof/>
                <w:webHidden/>
              </w:rPr>
              <w:tab/>
            </w:r>
            <w:r>
              <w:rPr>
                <w:noProof/>
                <w:webHidden/>
              </w:rPr>
              <w:fldChar w:fldCharType="begin"/>
            </w:r>
            <w:r>
              <w:rPr>
                <w:noProof/>
                <w:webHidden/>
              </w:rPr>
              <w:instrText xml:space="preserve"> PAGEREF _Toc103861445 \h </w:instrText>
            </w:r>
            <w:r>
              <w:rPr>
                <w:noProof/>
                <w:webHidden/>
              </w:rPr>
            </w:r>
            <w:r>
              <w:rPr>
                <w:noProof/>
                <w:webHidden/>
              </w:rPr>
              <w:fldChar w:fldCharType="separate"/>
            </w:r>
            <w:r>
              <w:rPr>
                <w:noProof/>
                <w:webHidden/>
              </w:rPr>
              <w:t>17</w:t>
            </w:r>
            <w:r>
              <w:rPr>
                <w:noProof/>
                <w:webHidden/>
              </w:rPr>
              <w:fldChar w:fldCharType="end"/>
            </w:r>
          </w:hyperlink>
        </w:p>
        <w:p w:rsidR="00500A82" w:rsidRDefault="00500A82">
          <w:pPr>
            <w:pStyle w:val="TOC1"/>
            <w:tabs>
              <w:tab w:val="right" w:pos="10456"/>
            </w:tabs>
            <w:rPr>
              <w:rFonts w:eastAsiaTheme="minorEastAsia"/>
              <w:noProof/>
              <w:sz w:val="22"/>
              <w:szCs w:val="22"/>
              <w:lang w:eastAsia="en-GB"/>
            </w:rPr>
          </w:pPr>
          <w:hyperlink w:anchor="_Toc103861446" w:history="1">
            <w:r w:rsidRPr="00C446D0">
              <w:rPr>
                <w:rStyle w:val="Hyperlink"/>
                <w:noProof/>
              </w:rPr>
              <w:t>Risk</w:t>
            </w:r>
            <w:r>
              <w:rPr>
                <w:noProof/>
                <w:webHidden/>
              </w:rPr>
              <w:tab/>
            </w:r>
            <w:r>
              <w:rPr>
                <w:noProof/>
                <w:webHidden/>
              </w:rPr>
              <w:fldChar w:fldCharType="begin"/>
            </w:r>
            <w:r>
              <w:rPr>
                <w:noProof/>
                <w:webHidden/>
              </w:rPr>
              <w:instrText xml:space="preserve"> PAGEREF _Toc103861446 \h </w:instrText>
            </w:r>
            <w:r>
              <w:rPr>
                <w:noProof/>
                <w:webHidden/>
              </w:rPr>
            </w:r>
            <w:r>
              <w:rPr>
                <w:noProof/>
                <w:webHidden/>
              </w:rPr>
              <w:fldChar w:fldCharType="separate"/>
            </w:r>
            <w:r>
              <w:rPr>
                <w:noProof/>
                <w:webHidden/>
              </w:rPr>
              <w:t>18</w:t>
            </w:r>
            <w:r>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47" w:history="1">
            <w:r w:rsidRPr="00C446D0">
              <w:rPr>
                <w:rStyle w:val="Hyperlink"/>
                <w:noProof/>
              </w:rPr>
              <w:t>Corporate Risk Register</w:t>
            </w:r>
            <w:r>
              <w:rPr>
                <w:noProof/>
                <w:webHidden/>
              </w:rPr>
              <w:tab/>
            </w:r>
            <w:r>
              <w:rPr>
                <w:noProof/>
                <w:webHidden/>
              </w:rPr>
              <w:fldChar w:fldCharType="begin"/>
            </w:r>
            <w:r>
              <w:rPr>
                <w:noProof/>
                <w:webHidden/>
              </w:rPr>
              <w:instrText xml:space="preserve"> PAGEREF _Toc103861447 \h </w:instrText>
            </w:r>
            <w:r>
              <w:rPr>
                <w:noProof/>
                <w:webHidden/>
              </w:rPr>
            </w:r>
            <w:r>
              <w:rPr>
                <w:noProof/>
                <w:webHidden/>
              </w:rPr>
              <w:fldChar w:fldCharType="separate"/>
            </w:r>
            <w:r>
              <w:rPr>
                <w:noProof/>
                <w:webHidden/>
              </w:rPr>
              <w:t>18</w:t>
            </w:r>
            <w:r>
              <w:rPr>
                <w:noProof/>
                <w:webHidden/>
              </w:rPr>
              <w:fldChar w:fldCharType="end"/>
            </w:r>
          </w:hyperlink>
        </w:p>
        <w:p w:rsidR="00500A82" w:rsidRDefault="00500A82">
          <w:pPr>
            <w:pStyle w:val="TOC1"/>
            <w:tabs>
              <w:tab w:val="right" w:pos="10456"/>
            </w:tabs>
            <w:rPr>
              <w:rFonts w:eastAsiaTheme="minorEastAsia"/>
              <w:noProof/>
              <w:sz w:val="22"/>
              <w:szCs w:val="22"/>
              <w:lang w:eastAsia="en-GB"/>
            </w:rPr>
          </w:pPr>
          <w:hyperlink w:anchor="_Toc103861448" w:history="1">
            <w:r w:rsidRPr="00C446D0">
              <w:rPr>
                <w:rStyle w:val="Hyperlink"/>
                <w:noProof/>
              </w:rPr>
              <w:t>Assurance</w:t>
            </w:r>
            <w:r>
              <w:rPr>
                <w:noProof/>
                <w:webHidden/>
              </w:rPr>
              <w:tab/>
            </w:r>
            <w:r>
              <w:rPr>
                <w:noProof/>
                <w:webHidden/>
              </w:rPr>
              <w:fldChar w:fldCharType="begin"/>
            </w:r>
            <w:r>
              <w:rPr>
                <w:noProof/>
                <w:webHidden/>
              </w:rPr>
              <w:instrText xml:space="preserve"> PAGEREF _Toc103861448 \h </w:instrText>
            </w:r>
            <w:r>
              <w:rPr>
                <w:noProof/>
                <w:webHidden/>
              </w:rPr>
            </w:r>
            <w:r>
              <w:rPr>
                <w:noProof/>
                <w:webHidden/>
              </w:rPr>
              <w:fldChar w:fldCharType="separate"/>
            </w:r>
            <w:r>
              <w:rPr>
                <w:noProof/>
                <w:webHidden/>
              </w:rPr>
              <w:t>19</w:t>
            </w:r>
            <w:r>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49" w:history="1">
            <w:r w:rsidRPr="00C446D0">
              <w:rPr>
                <w:rStyle w:val="Hyperlink"/>
                <w:noProof/>
              </w:rPr>
              <w:t>Audit Plan</w:t>
            </w:r>
            <w:r>
              <w:rPr>
                <w:noProof/>
                <w:webHidden/>
              </w:rPr>
              <w:tab/>
            </w:r>
            <w:r>
              <w:rPr>
                <w:noProof/>
                <w:webHidden/>
              </w:rPr>
              <w:fldChar w:fldCharType="begin"/>
            </w:r>
            <w:r>
              <w:rPr>
                <w:noProof/>
                <w:webHidden/>
              </w:rPr>
              <w:instrText xml:space="preserve"> PAGEREF _Toc103861449 \h </w:instrText>
            </w:r>
            <w:r>
              <w:rPr>
                <w:noProof/>
                <w:webHidden/>
              </w:rPr>
            </w:r>
            <w:r>
              <w:rPr>
                <w:noProof/>
                <w:webHidden/>
              </w:rPr>
              <w:fldChar w:fldCharType="separate"/>
            </w:r>
            <w:r>
              <w:rPr>
                <w:noProof/>
                <w:webHidden/>
              </w:rPr>
              <w:t>19</w:t>
            </w:r>
            <w:r>
              <w:rPr>
                <w:noProof/>
                <w:webHidden/>
              </w:rPr>
              <w:fldChar w:fldCharType="end"/>
            </w:r>
          </w:hyperlink>
        </w:p>
        <w:p w:rsidR="00500A82" w:rsidRDefault="00500A82">
          <w:pPr>
            <w:pStyle w:val="TOC3"/>
            <w:tabs>
              <w:tab w:val="right" w:pos="10456"/>
            </w:tabs>
            <w:rPr>
              <w:rFonts w:eastAsiaTheme="minorEastAsia"/>
              <w:noProof/>
              <w:sz w:val="22"/>
              <w:szCs w:val="22"/>
              <w:lang w:eastAsia="en-GB"/>
            </w:rPr>
          </w:pPr>
          <w:hyperlink w:anchor="_Toc103861450" w:history="1">
            <w:r w:rsidRPr="00C446D0">
              <w:rPr>
                <w:rStyle w:val="Hyperlink"/>
                <w:noProof/>
              </w:rPr>
              <w:t>Statement of Assurance</w:t>
            </w:r>
            <w:r>
              <w:rPr>
                <w:noProof/>
                <w:webHidden/>
              </w:rPr>
              <w:tab/>
            </w:r>
            <w:r>
              <w:rPr>
                <w:noProof/>
                <w:webHidden/>
              </w:rPr>
              <w:fldChar w:fldCharType="begin"/>
            </w:r>
            <w:r>
              <w:rPr>
                <w:noProof/>
                <w:webHidden/>
              </w:rPr>
              <w:instrText xml:space="preserve"> PAGEREF _Toc103861450 \h </w:instrText>
            </w:r>
            <w:r>
              <w:rPr>
                <w:noProof/>
                <w:webHidden/>
              </w:rPr>
            </w:r>
            <w:r>
              <w:rPr>
                <w:noProof/>
                <w:webHidden/>
              </w:rPr>
              <w:fldChar w:fldCharType="separate"/>
            </w:r>
            <w:r>
              <w:rPr>
                <w:noProof/>
                <w:webHidden/>
              </w:rPr>
              <w:t>19</w:t>
            </w:r>
            <w:r>
              <w:rPr>
                <w:noProof/>
                <w:webHidden/>
              </w:rPr>
              <w:fldChar w:fldCharType="end"/>
            </w:r>
          </w:hyperlink>
        </w:p>
        <w:p w:rsidR="00500A82" w:rsidRDefault="00500A82">
          <w:pPr>
            <w:pStyle w:val="TOC1"/>
            <w:tabs>
              <w:tab w:val="right" w:pos="10456"/>
            </w:tabs>
            <w:rPr>
              <w:rFonts w:eastAsiaTheme="minorEastAsia"/>
              <w:noProof/>
              <w:sz w:val="22"/>
              <w:szCs w:val="22"/>
              <w:lang w:eastAsia="en-GB"/>
            </w:rPr>
          </w:pPr>
          <w:hyperlink w:anchor="_Toc103861451" w:history="1">
            <w:r w:rsidRPr="00C446D0">
              <w:rPr>
                <w:rStyle w:val="Hyperlink"/>
                <w:noProof/>
              </w:rPr>
              <w:t>Her Majesty’s Inspectorate of Constabulary and Fire and Rescue Services (HMICFRS)</w:t>
            </w:r>
            <w:r>
              <w:rPr>
                <w:noProof/>
                <w:webHidden/>
              </w:rPr>
              <w:tab/>
            </w:r>
            <w:r>
              <w:rPr>
                <w:noProof/>
                <w:webHidden/>
              </w:rPr>
              <w:fldChar w:fldCharType="begin"/>
            </w:r>
            <w:r>
              <w:rPr>
                <w:noProof/>
                <w:webHidden/>
              </w:rPr>
              <w:instrText xml:space="preserve"> PAGEREF _Toc103861451 \h </w:instrText>
            </w:r>
            <w:r>
              <w:rPr>
                <w:noProof/>
                <w:webHidden/>
              </w:rPr>
            </w:r>
            <w:r>
              <w:rPr>
                <w:noProof/>
                <w:webHidden/>
              </w:rPr>
              <w:fldChar w:fldCharType="separate"/>
            </w:r>
            <w:r>
              <w:rPr>
                <w:noProof/>
                <w:webHidden/>
              </w:rPr>
              <w:t>20</w:t>
            </w:r>
            <w:r>
              <w:rPr>
                <w:noProof/>
                <w:webHidden/>
              </w:rPr>
              <w:fldChar w:fldCharType="end"/>
            </w:r>
          </w:hyperlink>
        </w:p>
        <w:p w:rsidR="00500A82" w:rsidRDefault="00500A82">
          <w:pPr>
            <w:pStyle w:val="TOC1"/>
            <w:tabs>
              <w:tab w:val="right" w:pos="10456"/>
            </w:tabs>
            <w:rPr>
              <w:rFonts w:eastAsiaTheme="minorEastAsia"/>
              <w:noProof/>
              <w:sz w:val="22"/>
              <w:szCs w:val="22"/>
              <w:lang w:eastAsia="en-GB"/>
            </w:rPr>
          </w:pPr>
          <w:hyperlink w:anchor="_Toc103861452" w:history="1">
            <w:r w:rsidRPr="00C446D0">
              <w:rPr>
                <w:rStyle w:val="Hyperlink"/>
                <w:noProof/>
              </w:rPr>
              <w:t>Appendix A: Measure Definitions</w:t>
            </w:r>
            <w:r>
              <w:rPr>
                <w:noProof/>
                <w:webHidden/>
              </w:rPr>
              <w:tab/>
            </w:r>
            <w:r>
              <w:rPr>
                <w:noProof/>
                <w:webHidden/>
              </w:rPr>
              <w:fldChar w:fldCharType="begin"/>
            </w:r>
            <w:r>
              <w:rPr>
                <w:noProof/>
                <w:webHidden/>
              </w:rPr>
              <w:instrText xml:space="preserve"> PAGEREF _Toc103861452 \h </w:instrText>
            </w:r>
            <w:r>
              <w:rPr>
                <w:noProof/>
                <w:webHidden/>
              </w:rPr>
            </w:r>
            <w:r>
              <w:rPr>
                <w:noProof/>
                <w:webHidden/>
              </w:rPr>
              <w:fldChar w:fldCharType="separate"/>
            </w:r>
            <w:r>
              <w:rPr>
                <w:noProof/>
                <w:webHidden/>
              </w:rPr>
              <w:t>21</w:t>
            </w:r>
            <w:r>
              <w:rPr>
                <w:noProof/>
                <w:webHidden/>
              </w:rPr>
              <w:fldChar w:fldCharType="end"/>
            </w:r>
          </w:hyperlink>
        </w:p>
        <w:p w:rsidR="0027047C" w:rsidRPr="00621123" w:rsidRDefault="0027047C">
          <w:r w:rsidRPr="00621123">
            <w:fldChar w:fldCharType="end"/>
          </w:r>
        </w:p>
      </w:sdtContent>
    </w:sdt>
    <w:p w:rsidR="0078447D" w:rsidRPr="00621123" w:rsidRDefault="0078447D" w:rsidP="0078447D">
      <w:pPr>
        <w:pStyle w:val="Heading1"/>
        <w:rPr>
          <w:noProof w:val="0"/>
        </w:rPr>
      </w:pPr>
      <w:bookmarkStart w:id="0" w:name="_Toc103861432"/>
      <w:r>
        <w:rPr>
          <w:noProof w:val="0"/>
        </w:rPr>
        <w:lastRenderedPageBreak/>
        <w:t>Introduction</w:t>
      </w:r>
      <w:bookmarkEnd w:id="0"/>
    </w:p>
    <w:p w:rsidR="0078447D" w:rsidRPr="0078447D" w:rsidRDefault="0078447D" w:rsidP="0078447D">
      <w:pPr>
        <w:spacing w:after="0"/>
      </w:pPr>
      <w:r w:rsidRPr="0078447D">
        <w:t xml:space="preserve">Royal Berkshire Fire and Rescue Service (RBFRS) provides Prevention, Protection and Response services across the County of Berkshire. There are </w:t>
      </w:r>
      <w:r w:rsidR="00BF75EC">
        <w:t>16</w:t>
      </w:r>
      <w:r w:rsidRPr="0078447D">
        <w:t xml:space="preserve"> fire stations</w:t>
      </w:r>
      <w:r w:rsidR="00BF75EC">
        <w:t xml:space="preserve"> across the county</w:t>
      </w:r>
      <w:r w:rsidRPr="0078447D">
        <w:t xml:space="preserve"> </w:t>
      </w:r>
      <w:r w:rsidR="00BF75EC">
        <w:t xml:space="preserve">of Berkshire, ranging </w:t>
      </w:r>
      <w:r w:rsidRPr="0078447D">
        <w:t xml:space="preserve">from Langley </w:t>
      </w:r>
      <w:r w:rsidR="00BF75EC">
        <w:t xml:space="preserve">and Slough </w:t>
      </w:r>
      <w:r w:rsidRPr="0078447D">
        <w:t xml:space="preserve">in the East to </w:t>
      </w:r>
      <w:proofErr w:type="spellStart"/>
      <w:r w:rsidRPr="0078447D">
        <w:t>Lambourn</w:t>
      </w:r>
      <w:proofErr w:type="spellEnd"/>
      <w:r w:rsidR="00BF75EC">
        <w:t xml:space="preserve"> and Hungerford</w:t>
      </w:r>
      <w:r w:rsidRPr="0078447D">
        <w:t xml:space="preserve"> in the West. They serve a diverse population of 914,859, 24-hours a day, </w:t>
      </w:r>
      <w:proofErr w:type="gramStart"/>
      <w:r w:rsidRPr="0078447D">
        <w:t>365</w:t>
      </w:r>
      <w:proofErr w:type="gramEnd"/>
      <w:r w:rsidRPr="0078447D">
        <w:t xml:space="preserve"> days a year.</w:t>
      </w:r>
    </w:p>
    <w:p w:rsidR="0078447D" w:rsidRPr="0078447D" w:rsidRDefault="0078447D" w:rsidP="0078447D">
      <w:pPr>
        <w:spacing w:after="0"/>
      </w:pPr>
    </w:p>
    <w:p w:rsidR="0078447D" w:rsidRPr="0078447D" w:rsidRDefault="0078447D" w:rsidP="0078447D">
      <w:pPr>
        <w:spacing w:after="0"/>
      </w:pPr>
      <w:r w:rsidRPr="0078447D">
        <w:t>Our highly-trained fire crews respond to incidents ranging from road and rail accidents to fuel and chemical spills, aviation and waterway accidents, collapsed buildings, large animal rescues and, of course, fires.</w:t>
      </w:r>
    </w:p>
    <w:p w:rsidR="0078447D" w:rsidRPr="0078447D" w:rsidRDefault="0078447D" w:rsidP="0078447D">
      <w:pPr>
        <w:spacing w:after="0"/>
      </w:pPr>
    </w:p>
    <w:p w:rsidR="0078447D" w:rsidRPr="0078447D" w:rsidRDefault="0078447D" w:rsidP="0078447D">
      <w:pPr>
        <w:spacing w:after="0"/>
      </w:pPr>
      <w:r w:rsidRPr="0078447D">
        <w:t>The role of RBFRS within local communities is evolving. As well as responding to incidents, RBFRS provides a wide range of services including safety and protection advice to our residents and businesses. We work alongside teams in the six unitary authorities of Berkshire, as well as, Thames Valley Police, South Central Ambulance Service (SCAS), Public Health, and other public service providers in Berkshire. In doing so, RBFRS is helping to reduce community risk and contribute to the overall safety of the communities we serve, whilst still providing a value-for-money service to the local taxpayer.</w:t>
      </w:r>
    </w:p>
    <w:p w:rsidR="0078447D" w:rsidRPr="0078447D" w:rsidRDefault="0078447D" w:rsidP="0078447D">
      <w:pPr>
        <w:spacing w:after="0"/>
      </w:pPr>
    </w:p>
    <w:p w:rsidR="0078447D" w:rsidRPr="0078447D" w:rsidRDefault="0078447D" w:rsidP="0078447D">
      <w:pPr>
        <w:spacing w:after="0"/>
      </w:pPr>
      <w:r w:rsidRPr="0078447D">
        <w:t xml:space="preserve">In 2018, Royal Berkshire Fire Authority published the </w:t>
      </w:r>
      <w:hyperlink r:id="rId14" w:history="1">
        <w:r w:rsidRPr="0078447D">
          <w:t>Corporate Plan and IRMP 2019-2023,</w:t>
        </w:r>
      </w:hyperlink>
      <w:r w:rsidRPr="0078447D">
        <w:t xml:space="preserve"> demonstrating how, over the next four years, RBFRS will deliver its services, in order to achieve the Fire Authority’s six Strategic Commitments.</w:t>
      </w:r>
    </w:p>
    <w:p w:rsidR="0078447D" w:rsidRPr="0078447D" w:rsidRDefault="0078447D" w:rsidP="0078447D">
      <w:pPr>
        <w:spacing w:after="0"/>
      </w:pPr>
    </w:p>
    <w:p w:rsidR="0078447D" w:rsidRPr="0078447D" w:rsidRDefault="0078447D" w:rsidP="0078447D">
      <w:pPr>
        <w:spacing w:after="0"/>
      </w:pPr>
      <w:r w:rsidRPr="0078447D">
        <w:t>The Annual Objectives for 2022-2023 (which include the six Strategic Commitments), have been updated to include specific areas of focus for the year ahead in support of our vision for 2023 and beyond, and to ensure RBFRS utilises and maximises its available resources to deliver a quality service to the people of Royal Berkshire.</w:t>
      </w:r>
    </w:p>
    <w:p w:rsidR="0078447D" w:rsidRDefault="0078447D" w:rsidP="00DD4B76"/>
    <w:p w:rsidR="0078447D" w:rsidRPr="0078447D" w:rsidRDefault="0078447D" w:rsidP="0078447D">
      <w:pPr>
        <w:pStyle w:val="Heading3"/>
        <w:rPr>
          <w:noProof w:val="0"/>
        </w:rPr>
      </w:pPr>
      <w:bookmarkStart w:id="1" w:name="_Toc103861433"/>
      <w:r w:rsidRPr="0078447D">
        <w:rPr>
          <w:noProof w:val="0"/>
        </w:rPr>
        <w:t>COVID-19 Pandemic</w:t>
      </w:r>
      <w:bookmarkEnd w:id="1"/>
    </w:p>
    <w:p w:rsidR="0078447D" w:rsidRPr="0078447D" w:rsidRDefault="0078447D" w:rsidP="0078447D">
      <w:pPr>
        <w:spacing w:after="0"/>
      </w:pPr>
      <w:r w:rsidRPr="0078447D">
        <w:t xml:space="preserve">Early in the pandemic, in line with government guidance, RBFRS suspended non-essential activities to protect our communities, staff and critical functions. Since then we have continually risk assessed our activities, reintroducing services when case levels and restrictions have allowed. </w:t>
      </w:r>
    </w:p>
    <w:p w:rsidR="0078447D" w:rsidRPr="0078447D" w:rsidRDefault="0078447D" w:rsidP="0078447D">
      <w:pPr>
        <w:spacing w:after="0"/>
      </w:pPr>
    </w:p>
    <w:p w:rsidR="0078447D" w:rsidRDefault="0078447D" w:rsidP="0078447D">
      <w:r w:rsidRPr="0078447D">
        <w:t>In developing our Annual Plan for 2022/23, we have reviewed our progress against the objectives we set last year, re-assessed our priorities in the light of developments in the sector and considered the likely ongoing impact of the pandemic. We recognise that we may still face further challenges due to COVID-19 and that we may need to adapt again throughout the year. We remain committed to delivering this Annual Plan for the people of Royal Berkshire.</w:t>
      </w:r>
    </w:p>
    <w:p w:rsidR="0078447D" w:rsidRDefault="0078447D" w:rsidP="0078447D">
      <w:r>
        <w:br w:type="page"/>
      </w:r>
    </w:p>
    <w:p w:rsidR="0078447D" w:rsidRPr="0078447D" w:rsidRDefault="00E9063F" w:rsidP="0078447D">
      <w:pPr>
        <w:pStyle w:val="Heading1"/>
        <w:rPr>
          <w:noProof w:val="0"/>
        </w:rPr>
      </w:pPr>
      <w:bookmarkStart w:id="2" w:name="_Toc103861434"/>
      <w:r>
        <w:rPr>
          <w:noProof w:val="0"/>
        </w:rPr>
        <w:lastRenderedPageBreak/>
        <w:t>ANNUAL OBJECTIVES 2022</w:t>
      </w:r>
      <w:r w:rsidR="0078447D" w:rsidRPr="0078447D">
        <w:rPr>
          <w:noProof w:val="0"/>
        </w:rPr>
        <w:t xml:space="preserve"> - 202</w:t>
      </w:r>
      <w:r>
        <w:rPr>
          <w:noProof w:val="0"/>
        </w:rPr>
        <w:t>3</w:t>
      </w:r>
      <w:bookmarkEnd w:id="2"/>
    </w:p>
    <w:p w:rsidR="0078447D" w:rsidRPr="0078447D" w:rsidRDefault="0078447D" w:rsidP="0078447D">
      <w:pPr>
        <w:pStyle w:val="NoSpacing"/>
        <w:spacing w:line="276" w:lineRule="auto"/>
        <w:rPr>
          <w:rFonts w:asciiTheme="minorHAnsi" w:eastAsiaTheme="minorHAnsi" w:hAnsiTheme="minorHAnsi" w:cstheme="minorBidi"/>
          <w:sz w:val="24"/>
          <w:szCs w:val="24"/>
          <w:lang w:eastAsia="en-US"/>
        </w:rPr>
      </w:pPr>
      <w:r w:rsidRPr="0078447D">
        <w:rPr>
          <w:rFonts w:asciiTheme="minorHAnsi" w:eastAsiaTheme="minorHAnsi" w:hAnsiTheme="minorHAnsi" w:cstheme="minorBidi"/>
          <w:sz w:val="24"/>
          <w:szCs w:val="24"/>
          <w:lang w:eastAsia="en-US"/>
        </w:rPr>
        <w:t xml:space="preserve">In order to achieve the </w:t>
      </w:r>
      <w:hyperlink r:id="rId15" w:history="1">
        <w:r w:rsidRPr="0078447D">
          <w:rPr>
            <w:rFonts w:asciiTheme="minorHAnsi" w:eastAsiaTheme="minorHAnsi" w:hAnsiTheme="minorHAnsi" w:cstheme="minorBidi"/>
            <w:lang w:eastAsia="en-US"/>
          </w:rPr>
          <w:t>Strategic Commitments</w:t>
        </w:r>
      </w:hyperlink>
      <w:r w:rsidRPr="0078447D">
        <w:rPr>
          <w:rFonts w:asciiTheme="minorHAnsi" w:eastAsiaTheme="minorHAnsi" w:hAnsiTheme="minorHAnsi" w:cstheme="minorBidi"/>
          <w:sz w:val="24"/>
          <w:szCs w:val="24"/>
          <w:lang w:eastAsia="en-US"/>
        </w:rPr>
        <w:t xml:space="preserve"> we have made to the people of Royal Berkshire, we have set the following 10 Annual Objectives for 2022/23, and highlighted areas of focus in achieving these Objectives. This is further supported by our Corporate Measures (outlined on page 10) which are directly aligned to the Annual Objectives and our core duties and responsibilities.</w:t>
      </w:r>
    </w:p>
    <w:p w:rsidR="0078447D" w:rsidRPr="00076402" w:rsidRDefault="0078447D" w:rsidP="0078447D">
      <w:pPr>
        <w:pStyle w:val="NoSpacing"/>
        <w:spacing w:line="276" w:lineRule="auto"/>
        <w:rPr>
          <w:color w:val="595959" w:themeColor="text1" w:themeTint="A6"/>
          <w:sz w:val="24"/>
          <w:szCs w:val="24"/>
          <w:highlight w:val="yellow"/>
        </w:rPr>
      </w:pPr>
      <w:r w:rsidRPr="00076402">
        <w:rPr>
          <w:color w:val="595959" w:themeColor="text1" w:themeTint="A6"/>
          <w:sz w:val="24"/>
          <w:szCs w:val="24"/>
          <w:highlight w:val="yellow"/>
        </w:rPr>
        <w:t xml:space="preserve"> </w:t>
      </w:r>
    </w:p>
    <w:p w:rsidR="0078447D" w:rsidRPr="00927647" w:rsidRDefault="0078447D" w:rsidP="00C74B35">
      <w:pPr>
        <w:pStyle w:val="ListNumber"/>
        <w:numPr>
          <w:ilvl w:val="0"/>
          <w:numId w:val="7"/>
        </w:numPr>
        <w:rPr>
          <w:b/>
        </w:rPr>
      </w:pPr>
      <w:r w:rsidRPr="00927647">
        <w:rPr>
          <w:b/>
        </w:rPr>
        <w:t>We will provide education and advice on how to prevent and mitigate the impacts of fires and other emergencies.</w:t>
      </w:r>
    </w:p>
    <w:p w:rsidR="0078447D" w:rsidRPr="0078447D" w:rsidRDefault="0078447D" w:rsidP="00C74B35">
      <w:pPr>
        <w:pStyle w:val="ListNumber2"/>
        <w:numPr>
          <w:ilvl w:val="0"/>
          <w:numId w:val="8"/>
        </w:numPr>
      </w:pPr>
      <w:r w:rsidRPr="0078447D">
        <w:t xml:space="preserve">Continue to deliver against the commitments in our Prevention Strategy, embedding quality assurance. </w:t>
      </w:r>
    </w:p>
    <w:p w:rsidR="0078447D" w:rsidRPr="0078447D" w:rsidRDefault="0078447D" w:rsidP="00C74B35">
      <w:pPr>
        <w:pStyle w:val="ListNumber2"/>
        <w:numPr>
          <w:ilvl w:val="0"/>
          <w:numId w:val="8"/>
        </w:numPr>
      </w:pPr>
      <w:r w:rsidRPr="0078447D">
        <w:t xml:space="preserve">Continue our programme of evaluation of Prevention activity.  </w:t>
      </w:r>
    </w:p>
    <w:p w:rsidR="0078447D" w:rsidRPr="0078447D" w:rsidRDefault="0078447D" w:rsidP="00C74B35">
      <w:pPr>
        <w:pStyle w:val="ListNumber2"/>
        <w:numPr>
          <w:ilvl w:val="0"/>
          <w:numId w:val="8"/>
        </w:numPr>
      </w:pPr>
      <w:r w:rsidRPr="0078447D">
        <w:t>Deliver an effective fire, road and water safety education programme, aligned to the National Fire Chiefs Council guidance.</w:t>
      </w:r>
    </w:p>
    <w:p w:rsidR="0078447D" w:rsidRPr="0078447D" w:rsidRDefault="0078447D" w:rsidP="00C74B35">
      <w:pPr>
        <w:pStyle w:val="ListNumber2"/>
        <w:numPr>
          <w:ilvl w:val="0"/>
          <w:numId w:val="8"/>
        </w:numPr>
      </w:pPr>
      <w:r w:rsidRPr="0078447D">
        <w:t>Continue to deliver Safe and Well Visits for the vulnerable in Berkshire in line with our Prevention Strategy.</w:t>
      </w:r>
    </w:p>
    <w:p w:rsidR="0078447D" w:rsidRPr="0078447D" w:rsidRDefault="0078447D" w:rsidP="00C74B35">
      <w:pPr>
        <w:pStyle w:val="ListNumber2"/>
        <w:numPr>
          <w:ilvl w:val="0"/>
          <w:numId w:val="8"/>
        </w:numPr>
      </w:pPr>
      <w:r w:rsidRPr="0078447D">
        <w:t>Deliver and evaluate our risk-based programme of follow-up visits for the most vulnerable cases.</w:t>
      </w:r>
    </w:p>
    <w:p w:rsidR="0078447D" w:rsidRPr="00076402" w:rsidRDefault="0078447D" w:rsidP="0078447D">
      <w:pPr>
        <w:pStyle w:val="NoSpacing"/>
        <w:spacing w:line="276" w:lineRule="auto"/>
        <w:ind w:left="284"/>
        <w:rPr>
          <w:color w:val="595959" w:themeColor="text1" w:themeTint="A6"/>
          <w:sz w:val="24"/>
          <w:szCs w:val="24"/>
          <w:highlight w:val="yellow"/>
        </w:rPr>
      </w:pPr>
    </w:p>
    <w:p w:rsidR="0078447D" w:rsidRPr="00927647" w:rsidRDefault="0078447D" w:rsidP="00C74B35">
      <w:pPr>
        <w:pStyle w:val="ListNumber"/>
        <w:numPr>
          <w:ilvl w:val="0"/>
          <w:numId w:val="7"/>
        </w:numPr>
        <w:rPr>
          <w:b/>
        </w:rPr>
      </w:pPr>
      <w:r w:rsidRPr="00927647">
        <w:rPr>
          <w:b/>
        </w:rPr>
        <w:t>We will ensure a swift and effective response when called to emergencies.</w:t>
      </w:r>
    </w:p>
    <w:p w:rsidR="0078447D" w:rsidRPr="0078447D" w:rsidRDefault="0078447D" w:rsidP="00C74B35">
      <w:pPr>
        <w:pStyle w:val="ListNumber2"/>
        <w:numPr>
          <w:ilvl w:val="0"/>
          <w:numId w:val="9"/>
        </w:numPr>
      </w:pPr>
      <w:r w:rsidRPr="0078447D">
        <w:t xml:space="preserve">As set out in our Response Strategy, continue the review of our specialist water rescue capabilities to be aligned to local risk and reflect national best practice. </w:t>
      </w:r>
    </w:p>
    <w:p w:rsidR="0078447D" w:rsidRPr="0078447D" w:rsidRDefault="0078447D" w:rsidP="00C74B35">
      <w:pPr>
        <w:pStyle w:val="ListNumber2"/>
        <w:numPr>
          <w:ilvl w:val="0"/>
          <w:numId w:val="8"/>
        </w:numPr>
      </w:pPr>
      <w:r w:rsidRPr="0078447D">
        <w:t>Improve and evaluate our ability to respond to risk in the West of the county through effective targeting of our Protection and Prevention activity.</w:t>
      </w:r>
    </w:p>
    <w:p w:rsidR="0078447D" w:rsidRPr="0078447D" w:rsidRDefault="0078447D" w:rsidP="00C74B35">
      <w:pPr>
        <w:pStyle w:val="ListNumber2"/>
        <w:numPr>
          <w:ilvl w:val="0"/>
          <w:numId w:val="8"/>
        </w:numPr>
      </w:pPr>
      <w:r w:rsidRPr="0078447D">
        <w:t>Continue to focus on the sustained availability of the on-call duty model.</w:t>
      </w:r>
    </w:p>
    <w:p w:rsidR="0078447D" w:rsidRPr="0078447D" w:rsidRDefault="0078447D" w:rsidP="00C74B35">
      <w:pPr>
        <w:pStyle w:val="ListNumber2"/>
        <w:numPr>
          <w:ilvl w:val="0"/>
          <w:numId w:val="8"/>
        </w:numPr>
      </w:pPr>
      <w:r w:rsidRPr="0078447D">
        <w:t>Undertake effective risk analysis to inform capability requirements for specialist incidents</w:t>
      </w:r>
    </w:p>
    <w:p w:rsidR="0078447D" w:rsidRDefault="0078447D" w:rsidP="002150D1">
      <w:pPr>
        <w:pStyle w:val="ListNumber2"/>
        <w:numPr>
          <w:ilvl w:val="0"/>
          <w:numId w:val="0"/>
        </w:numPr>
        <w:ind w:left="283"/>
      </w:pPr>
    </w:p>
    <w:p w:rsidR="002150D1" w:rsidRPr="0078447D" w:rsidRDefault="002150D1" w:rsidP="002150D1">
      <w:pPr>
        <w:pStyle w:val="ListNumber2"/>
        <w:numPr>
          <w:ilvl w:val="0"/>
          <w:numId w:val="0"/>
        </w:numPr>
        <w:ind w:left="283"/>
      </w:pPr>
    </w:p>
    <w:p w:rsidR="0078447D" w:rsidRPr="00927647" w:rsidRDefault="0078447D" w:rsidP="00C74B35">
      <w:pPr>
        <w:pStyle w:val="ListNumber"/>
        <w:numPr>
          <w:ilvl w:val="0"/>
          <w:numId w:val="7"/>
        </w:numPr>
        <w:rPr>
          <w:b/>
        </w:rPr>
      </w:pPr>
      <w:r w:rsidRPr="00927647">
        <w:rPr>
          <w:b/>
        </w:rPr>
        <w:lastRenderedPageBreak/>
        <w:t>We will provide advice, consultation and enforcement in relation to fire safety standards in buildings.</w:t>
      </w:r>
    </w:p>
    <w:p w:rsidR="0078447D" w:rsidRPr="0078447D" w:rsidRDefault="0078447D" w:rsidP="00C74B35">
      <w:pPr>
        <w:pStyle w:val="ListNumber2"/>
        <w:numPr>
          <w:ilvl w:val="0"/>
          <w:numId w:val="10"/>
        </w:numPr>
      </w:pPr>
      <w:r w:rsidRPr="0078447D">
        <w:t xml:space="preserve">We will implement the learning from the phase one Grenfell inquiry and adapt to planned legislative changes, enabling us to respond quickly to the changing fire safety environment. </w:t>
      </w:r>
    </w:p>
    <w:p w:rsidR="0078447D" w:rsidRPr="0078447D" w:rsidRDefault="0078447D" w:rsidP="00C74B35">
      <w:pPr>
        <w:pStyle w:val="ListNumber2"/>
        <w:numPr>
          <w:ilvl w:val="0"/>
          <w:numId w:val="10"/>
        </w:numPr>
      </w:pPr>
      <w:r w:rsidRPr="0078447D">
        <w:t xml:space="preserve">We will continue to develop and embed our new Risk-Based Inspection Programme methodology and evaluate its implementation. </w:t>
      </w:r>
    </w:p>
    <w:p w:rsidR="0078447D" w:rsidRPr="0078447D" w:rsidRDefault="0078447D" w:rsidP="00C74B35">
      <w:pPr>
        <w:pStyle w:val="ListNumber2"/>
        <w:numPr>
          <w:ilvl w:val="0"/>
          <w:numId w:val="8"/>
        </w:numPr>
      </w:pPr>
      <w:r w:rsidRPr="0078447D">
        <w:t>We will continue to promote and influence the fitting of sprinklers in both new and existing buildings where appropriate.</w:t>
      </w:r>
    </w:p>
    <w:p w:rsidR="0078447D" w:rsidRPr="00076402" w:rsidRDefault="0078447D" w:rsidP="0078447D">
      <w:pPr>
        <w:pStyle w:val="NoSpacing"/>
        <w:spacing w:line="276" w:lineRule="auto"/>
        <w:ind w:left="284"/>
        <w:rPr>
          <w:b/>
          <w:sz w:val="24"/>
          <w:szCs w:val="24"/>
          <w:highlight w:val="yellow"/>
        </w:rPr>
      </w:pPr>
    </w:p>
    <w:p w:rsidR="0078447D" w:rsidRPr="00927647" w:rsidRDefault="0078447D" w:rsidP="00C74B35">
      <w:pPr>
        <w:pStyle w:val="ListNumber"/>
        <w:numPr>
          <w:ilvl w:val="0"/>
          <w:numId w:val="7"/>
        </w:numPr>
        <w:rPr>
          <w:b/>
        </w:rPr>
      </w:pPr>
      <w:r w:rsidRPr="00927647">
        <w:rPr>
          <w:b/>
        </w:rPr>
        <w:t>We will seek opportunities to contribute to a broader safety, health and wellbeing agenda, whilst delivering our core functions.</w:t>
      </w:r>
    </w:p>
    <w:p w:rsidR="0078447D" w:rsidRPr="0078447D" w:rsidRDefault="0078447D" w:rsidP="00C74B35">
      <w:pPr>
        <w:pStyle w:val="ListNumber2"/>
        <w:numPr>
          <w:ilvl w:val="0"/>
          <w:numId w:val="11"/>
        </w:numPr>
      </w:pPr>
      <w:r w:rsidRPr="0078447D">
        <w:t xml:space="preserve">Focus our activities in support of Children and Young People through our road and water safety education programmes, Fire Cadets and </w:t>
      </w:r>
      <w:proofErr w:type="spellStart"/>
      <w:r w:rsidRPr="0078447D">
        <w:t>FireSafe</w:t>
      </w:r>
      <w:proofErr w:type="spellEnd"/>
      <w:r w:rsidRPr="0078447D">
        <w:t xml:space="preserve">. </w:t>
      </w:r>
    </w:p>
    <w:p w:rsidR="0078447D" w:rsidRPr="0078447D" w:rsidRDefault="0078447D" w:rsidP="00C74B35">
      <w:pPr>
        <w:pStyle w:val="ListNumber2"/>
        <w:numPr>
          <w:ilvl w:val="0"/>
          <w:numId w:val="11"/>
        </w:numPr>
      </w:pPr>
      <w:r w:rsidRPr="0078447D">
        <w:t>Continue to make high quality, timely safeguarding referrals to other agencies.</w:t>
      </w:r>
    </w:p>
    <w:p w:rsidR="0078447D" w:rsidRPr="0078447D" w:rsidRDefault="0078447D" w:rsidP="00C74B35">
      <w:pPr>
        <w:pStyle w:val="ListNumber2"/>
        <w:numPr>
          <w:ilvl w:val="0"/>
          <w:numId w:val="11"/>
        </w:numPr>
      </w:pPr>
      <w:r w:rsidRPr="0078447D">
        <w:t xml:space="preserve">We will work with and support our communities and partners in post-pandemic recovery. </w:t>
      </w:r>
    </w:p>
    <w:p w:rsidR="0078447D" w:rsidRPr="00076402" w:rsidRDefault="0078447D" w:rsidP="0078447D">
      <w:pPr>
        <w:pStyle w:val="NoSpacing"/>
        <w:spacing w:line="276" w:lineRule="auto"/>
        <w:ind w:left="284"/>
        <w:rPr>
          <w:color w:val="595959" w:themeColor="text1" w:themeTint="A6"/>
          <w:sz w:val="24"/>
          <w:szCs w:val="24"/>
          <w:highlight w:val="yellow"/>
        </w:rPr>
      </w:pPr>
    </w:p>
    <w:p w:rsidR="0078447D" w:rsidRPr="00927647" w:rsidRDefault="0078447D" w:rsidP="00C74B35">
      <w:pPr>
        <w:pStyle w:val="ListNumber"/>
        <w:numPr>
          <w:ilvl w:val="0"/>
          <w:numId w:val="7"/>
        </w:numPr>
        <w:rPr>
          <w:b/>
        </w:rPr>
      </w:pPr>
      <w:r w:rsidRPr="00927647">
        <w:rPr>
          <w:b/>
        </w:rPr>
        <w:t xml:space="preserve">We will ensure that Royal Berkshire Fire and Rescue Service provides good value for money, and is financially and environmentally sustainable, whilst ensuring Equality of Access for the public. </w:t>
      </w:r>
    </w:p>
    <w:p w:rsidR="0078447D" w:rsidRPr="0078447D" w:rsidRDefault="0078447D" w:rsidP="00C74B35">
      <w:pPr>
        <w:pStyle w:val="ListNumber2"/>
        <w:numPr>
          <w:ilvl w:val="0"/>
          <w:numId w:val="12"/>
        </w:numPr>
      </w:pPr>
      <w:r w:rsidRPr="0078447D">
        <w:t xml:space="preserve">Deliver the 2022/23 requirements of the Strategic Asset Investment Framework, the Efficiency Plan and the new Sustainability Strategy.  </w:t>
      </w:r>
    </w:p>
    <w:p w:rsidR="0078447D" w:rsidRPr="0078447D" w:rsidRDefault="0078447D" w:rsidP="00C74B35">
      <w:pPr>
        <w:pStyle w:val="ListNumber2"/>
        <w:numPr>
          <w:ilvl w:val="0"/>
          <w:numId w:val="12"/>
        </w:numPr>
      </w:pPr>
      <w:r w:rsidRPr="0078447D">
        <w:t>Continue to work in partnership with other Fire and Rescue Services to implement a Value for Money assessment that can be used across the sector.</w:t>
      </w:r>
    </w:p>
    <w:p w:rsidR="0078447D" w:rsidRPr="0078447D" w:rsidRDefault="0078447D" w:rsidP="00C74B35">
      <w:pPr>
        <w:pStyle w:val="ListNumber2"/>
        <w:numPr>
          <w:ilvl w:val="0"/>
          <w:numId w:val="12"/>
        </w:numPr>
      </w:pPr>
      <w:r w:rsidRPr="0078447D">
        <w:t xml:space="preserve">Continue to address the burden of false alarms on the service. </w:t>
      </w:r>
    </w:p>
    <w:p w:rsidR="0078447D" w:rsidRPr="0078447D" w:rsidRDefault="0078447D" w:rsidP="00C74B35">
      <w:pPr>
        <w:pStyle w:val="ListNumber2"/>
        <w:numPr>
          <w:ilvl w:val="0"/>
          <w:numId w:val="12"/>
        </w:numPr>
      </w:pPr>
      <w:r w:rsidRPr="0078447D">
        <w:t xml:space="preserve">Develop and consult on a new Community Risk Management Plan (CRMP) to start in 2023. </w:t>
      </w:r>
    </w:p>
    <w:p w:rsidR="0078447D" w:rsidRPr="00076402" w:rsidRDefault="0078447D" w:rsidP="0078447D">
      <w:pPr>
        <w:pStyle w:val="NoSpacing"/>
        <w:spacing w:line="276" w:lineRule="auto"/>
        <w:ind w:left="284"/>
        <w:rPr>
          <w:color w:val="595959" w:themeColor="text1" w:themeTint="A6"/>
          <w:sz w:val="24"/>
          <w:szCs w:val="24"/>
          <w:highlight w:val="yellow"/>
        </w:rPr>
      </w:pPr>
    </w:p>
    <w:p w:rsidR="0078447D" w:rsidRPr="00927647" w:rsidRDefault="0078447D" w:rsidP="00C74B35">
      <w:pPr>
        <w:pStyle w:val="ListNumber"/>
        <w:numPr>
          <w:ilvl w:val="0"/>
          <w:numId w:val="7"/>
        </w:numPr>
        <w:rPr>
          <w:b/>
        </w:rPr>
      </w:pPr>
      <w:r w:rsidRPr="00927647">
        <w:rPr>
          <w:b/>
        </w:rPr>
        <w:t>We will continue to work with Central Government and key stakeholders in the interests of the people of Royal Berkshire.</w:t>
      </w:r>
    </w:p>
    <w:p w:rsidR="0078447D" w:rsidRPr="0078447D" w:rsidRDefault="0078447D" w:rsidP="00C74B35">
      <w:pPr>
        <w:pStyle w:val="ListNumber2"/>
        <w:numPr>
          <w:ilvl w:val="0"/>
          <w:numId w:val="13"/>
        </w:numPr>
      </w:pPr>
      <w:r w:rsidRPr="0078447D">
        <w:t xml:space="preserve">Continue to influence and encourage greater flexibility to secure sustainable funding over the medium term to ensure our Service effectively meets local risk. </w:t>
      </w:r>
    </w:p>
    <w:p w:rsidR="0078447D" w:rsidRPr="0078447D" w:rsidRDefault="0078447D" w:rsidP="00C74B35">
      <w:pPr>
        <w:pStyle w:val="ListNumber2"/>
        <w:numPr>
          <w:ilvl w:val="0"/>
          <w:numId w:val="13"/>
        </w:numPr>
      </w:pPr>
      <w:r w:rsidRPr="0078447D">
        <w:t>Proactively engage and respond to relevant consultations and opportunities to shape fire and rescue services in England, including the Fire Reform White Paper.</w:t>
      </w:r>
    </w:p>
    <w:p w:rsidR="0078447D" w:rsidRPr="00BF3C35" w:rsidRDefault="0078447D" w:rsidP="0078447D">
      <w:pPr>
        <w:pStyle w:val="NoSpacing"/>
        <w:spacing w:line="276" w:lineRule="auto"/>
        <w:ind w:left="284"/>
        <w:rPr>
          <w:sz w:val="24"/>
          <w:szCs w:val="24"/>
          <w:highlight w:val="yellow"/>
        </w:rPr>
      </w:pPr>
    </w:p>
    <w:p w:rsidR="0078447D" w:rsidRPr="00927647" w:rsidRDefault="0078447D" w:rsidP="00C74B35">
      <w:pPr>
        <w:pStyle w:val="ListNumber"/>
        <w:numPr>
          <w:ilvl w:val="0"/>
          <w:numId w:val="7"/>
        </w:numPr>
        <w:rPr>
          <w:b/>
        </w:rPr>
      </w:pPr>
      <w:r w:rsidRPr="00927647">
        <w:rPr>
          <w:b/>
        </w:rPr>
        <w:t>We will recruit, train and develop our people to ensure we create a safe, professional, capable and diverse workforce that are supported to become the best public servants they can be for the residents of Berkshire.</w:t>
      </w:r>
    </w:p>
    <w:p w:rsidR="0078447D" w:rsidRPr="0078447D" w:rsidRDefault="0078447D" w:rsidP="00C74B35">
      <w:pPr>
        <w:pStyle w:val="ListNumber2"/>
        <w:numPr>
          <w:ilvl w:val="0"/>
          <w:numId w:val="14"/>
        </w:numPr>
      </w:pPr>
      <w:r w:rsidRPr="0078447D">
        <w:t xml:space="preserve">Consult on and implement an updated People Strategy to cover the period 2022-25. </w:t>
      </w:r>
    </w:p>
    <w:p w:rsidR="0078447D" w:rsidRPr="0078447D" w:rsidRDefault="0078447D" w:rsidP="00C74B35">
      <w:pPr>
        <w:pStyle w:val="ListNumber2"/>
        <w:numPr>
          <w:ilvl w:val="0"/>
          <w:numId w:val="14"/>
        </w:numPr>
      </w:pPr>
      <w:r w:rsidRPr="0078447D">
        <w:t xml:space="preserve">Ensure workforce planning leads to the right people, in the right positions, with the skills required, including responding to the requirements resulting from recent </w:t>
      </w:r>
      <w:proofErr w:type="gramStart"/>
      <w:r w:rsidRPr="0078447D">
        <w:t>pensions</w:t>
      </w:r>
      <w:proofErr w:type="gramEnd"/>
      <w:r w:rsidRPr="0078447D">
        <w:t xml:space="preserve"> cases. </w:t>
      </w:r>
    </w:p>
    <w:p w:rsidR="0078447D" w:rsidRPr="0078447D" w:rsidRDefault="0078447D" w:rsidP="00C74B35">
      <w:pPr>
        <w:pStyle w:val="ListNumber2"/>
        <w:numPr>
          <w:ilvl w:val="0"/>
          <w:numId w:val="14"/>
        </w:numPr>
      </w:pPr>
      <w:r w:rsidRPr="0078447D">
        <w:t>Continue to implement the Fire Safety Development and Assessment Pathways (DAPs), and commence further DAPs for professional services staff.</w:t>
      </w:r>
    </w:p>
    <w:p w:rsidR="0078447D" w:rsidRPr="0078447D" w:rsidRDefault="0078447D" w:rsidP="00C74B35">
      <w:pPr>
        <w:pStyle w:val="ListNumber2"/>
        <w:numPr>
          <w:ilvl w:val="0"/>
          <w:numId w:val="14"/>
        </w:numPr>
      </w:pPr>
      <w:r w:rsidRPr="0078447D">
        <w:t xml:space="preserve">Deliver the 2022/23 requirements of the Health, Safety and Wellbeing Action Plan. </w:t>
      </w:r>
    </w:p>
    <w:p w:rsidR="0078447D" w:rsidRPr="00076402" w:rsidRDefault="0078447D" w:rsidP="0078447D">
      <w:pPr>
        <w:pStyle w:val="NoSpacing"/>
        <w:spacing w:line="276" w:lineRule="auto"/>
        <w:rPr>
          <w:color w:val="595959" w:themeColor="text1" w:themeTint="A6"/>
          <w:sz w:val="24"/>
          <w:szCs w:val="24"/>
          <w:highlight w:val="yellow"/>
        </w:rPr>
      </w:pPr>
    </w:p>
    <w:p w:rsidR="0078447D" w:rsidRPr="00927647" w:rsidRDefault="0078447D" w:rsidP="00C74B35">
      <w:pPr>
        <w:pStyle w:val="ListNumber"/>
        <w:numPr>
          <w:ilvl w:val="0"/>
          <w:numId w:val="7"/>
        </w:numPr>
        <w:rPr>
          <w:b/>
        </w:rPr>
      </w:pPr>
      <w:r w:rsidRPr="00927647">
        <w:rPr>
          <w:b/>
        </w:rPr>
        <w:t>We will manage RBFRS in accordance with best practice and national professional standards, understanding and continuous improvement, learning from events and being transparent in our compliance.</w:t>
      </w:r>
    </w:p>
    <w:p w:rsidR="0078447D" w:rsidRPr="0078447D" w:rsidRDefault="0078447D" w:rsidP="00C74B35">
      <w:pPr>
        <w:pStyle w:val="ListNumber2"/>
        <w:numPr>
          <w:ilvl w:val="0"/>
          <w:numId w:val="15"/>
        </w:numPr>
      </w:pPr>
      <w:r w:rsidRPr="0078447D">
        <w:t xml:space="preserve">Ensure a robust internal and external Audit Programme, and actively engage with the Her Majesty’s Inspectorate for Constabulary and Fire and Rescue Services’ Inspection in the </w:t>
      </w:r>
      <w:proofErr w:type="gramStart"/>
      <w:r w:rsidRPr="0078447D">
        <w:t>Summer</w:t>
      </w:r>
      <w:proofErr w:type="gramEnd"/>
      <w:r w:rsidRPr="0078447D">
        <w:t xml:space="preserve"> of 2022. </w:t>
      </w:r>
    </w:p>
    <w:p w:rsidR="0078447D" w:rsidRPr="0078447D" w:rsidRDefault="0078447D" w:rsidP="00C74B35">
      <w:pPr>
        <w:pStyle w:val="ListNumber2"/>
        <w:numPr>
          <w:ilvl w:val="0"/>
          <w:numId w:val="15"/>
        </w:numPr>
      </w:pPr>
      <w:r w:rsidRPr="0078447D">
        <w:t>Work in accordance with the Fire and Rescue National Framework for England.</w:t>
      </w:r>
    </w:p>
    <w:p w:rsidR="0078447D" w:rsidRPr="0078447D" w:rsidRDefault="0078447D" w:rsidP="00C74B35">
      <w:pPr>
        <w:pStyle w:val="ListNumber2"/>
        <w:numPr>
          <w:ilvl w:val="0"/>
          <w:numId w:val="15"/>
        </w:numPr>
      </w:pPr>
      <w:r w:rsidRPr="0078447D">
        <w:t xml:space="preserve">Proactively engage with and respond to relevant and emerging legislation and regulation, and monitor this through the Corporate Risk Register. </w:t>
      </w:r>
    </w:p>
    <w:p w:rsidR="0078447D" w:rsidRPr="0078447D" w:rsidRDefault="0078447D" w:rsidP="00C74B35">
      <w:pPr>
        <w:pStyle w:val="ListNumber2"/>
        <w:numPr>
          <w:ilvl w:val="0"/>
          <w:numId w:val="15"/>
        </w:numPr>
      </w:pPr>
      <w:r w:rsidRPr="0078447D">
        <w:t>Continue to engage with the development of professional Fire Standards for fire and rescue services in England and ensure approved Standards are implemented.</w:t>
      </w:r>
    </w:p>
    <w:p w:rsidR="0078447D" w:rsidRPr="00076402" w:rsidRDefault="0078447D" w:rsidP="0078447D">
      <w:pPr>
        <w:pStyle w:val="NoSpacing"/>
        <w:spacing w:line="276" w:lineRule="auto"/>
        <w:ind w:left="-76"/>
        <w:rPr>
          <w:color w:val="595959" w:themeColor="text1" w:themeTint="A6"/>
          <w:sz w:val="24"/>
          <w:szCs w:val="24"/>
          <w:highlight w:val="yellow"/>
        </w:rPr>
      </w:pPr>
    </w:p>
    <w:p w:rsidR="0078447D" w:rsidRPr="00927647" w:rsidRDefault="0078447D" w:rsidP="00C74B35">
      <w:pPr>
        <w:pStyle w:val="ListNumber"/>
        <w:numPr>
          <w:ilvl w:val="0"/>
          <w:numId w:val="7"/>
        </w:numPr>
        <w:rPr>
          <w:b/>
        </w:rPr>
      </w:pPr>
      <w:r w:rsidRPr="00927647">
        <w:rPr>
          <w:b/>
        </w:rPr>
        <w:t>We will be strong and visible in our leadership in developing a diverse and inclusive ‘one team’ culture, reflecting our Equality, Diversity and Inclusion Objectives, where everyone’s contribution is valued and positive behaviours are recognised.</w:t>
      </w:r>
    </w:p>
    <w:p w:rsidR="0078447D" w:rsidRPr="0078447D" w:rsidRDefault="0078447D" w:rsidP="00C74B35">
      <w:pPr>
        <w:pStyle w:val="ListNumber2"/>
        <w:numPr>
          <w:ilvl w:val="0"/>
          <w:numId w:val="16"/>
        </w:numPr>
      </w:pPr>
      <w:r w:rsidRPr="0078447D">
        <w:t>Deliver the 2022/23 requirements of the Equality, Diversity and Inclusivity (EDI) Objectives and Action Plan.</w:t>
      </w:r>
    </w:p>
    <w:p w:rsidR="0078447D" w:rsidRPr="0078447D" w:rsidRDefault="0078447D" w:rsidP="00C74B35">
      <w:pPr>
        <w:pStyle w:val="ListNumber2"/>
        <w:numPr>
          <w:ilvl w:val="0"/>
          <w:numId w:val="15"/>
        </w:numPr>
      </w:pPr>
      <w:r w:rsidRPr="0078447D">
        <w:t>Ensure adherence to the Behavioural Competency Framework</w:t>
      </w:r>
      <w:r w:rsidR="00EA72D7">
        <w:t xml:space="preserve"> (BCF)</w:t>
      </w:r>
      <w:r w:rsidRPr="0078447D">
        <w:t xml:space="preserve"> across RBFRS, launch 360 feedback tool based on the BCF.</w:t>
      </w:r>
    </w:p>
    <w:p w:rsidR="0078447D" w:rsidRPr="0078447D" w:rsidRDefault="0078447D" w:rsidP="00C74B35">
      <w:pPr>
        <w:pStyle w:val="ListNumber2"/>
        <w:numPr>
          <w:ilvl w:val="0"/>
          <w:numId w:val="15"/>
        </w:numPr>
      </w:pPr>
      <w:r w:rsidRPr="0078447D">
        <w:t xml:space="preserve">Launch the Chairman’s Internship, a paid internship aimed at 16-18 year old residents of Berkshire from ethnic background that are currently under-represented in the Service. </w:t>
      </w:r>
    </w:p>
    <w:p w:rsidR="0078447D" w:rsidRPr="00076402" w:rsidRDefault="0078447D" w:rsidP="0078447D">
      <w:pPr>
        <w:pStyle w:val="NoSpacing"/>
        <w:spacing w:line="276" w:lineRule="auto"/>
        <w:ind w:left="283"/>
        <w:rPr>
          <w:color w:val="595959" w:themeColor="text1" w:themeTint="A6"/>
          <w:sz w:val="24"/>
          <w:szCs w:val="24"/>
          <w:highlight w:val="yellow"/>
        </w:rPr>
      </w:pPr>
    </w:p>
    <w:p w:rsidR="0078447D" w:rsidRPr="00927647" w:rsidRDefault="0078447D" w:rsidP="00C74B35">
      <w:pPr>
        <w:pStyle w:val="ListNumber"/>
        <w:numPr>
          <w:ilvl w:val="0"/>
          <w:numId w:val="7"/>
        </w:numPr>
        <w:rPr>
          <w:b/>
        </w:rPr>
      </w:pPr>
      <w:r w:rsidRPr="00C74B35">
        <w:lastRenderedPageBreak/>
        <w:t xml:space="preserve"> </w:t>
      </w:r>
      <w:r w:rsidRPr="00927647">
        <w:rPr>
          <w:b/>
        </w:rPr>
        <w:t>We will explore collaboration opportunities to ensure we deliver effective and efficient services to the people we serve.</w:t>
      </w:r>
    </w:p>
    <w:p w:rsidR="0078447D" w:rsidRPr="00C74B35" w:rsidRDefault="0078447D" w:rsidP="00C74B35">
      <w:pPr>
        <w:pStyle w:val="ListNumber2"/>
        <w:numPr>
          <w:ilvl w:val="0"/>
          <w:numId w:val="17"/>
        </w:numPr>
      </w:pPr>
      <w:r w:rsidRPr="00C74B35">
        <w:t>Continue to explore and pursue opportunities to collaborate in the use of our property and estates and in the procurement of goods and services.</w:t>
      </w:r>
    </w:p>
    <w:p w:rsidR="0078447D" w:rsidRPr="00C74B35" w:rsidRDefault="0078447D" w:rsidP="00C74B35">
      <w:pPr>
        <w:pStyle w:val="ListNumber2"/>
        <w:numPr>
          <w:ilvl w:val="0"/>
          <w:numId w:val="17"/>
        </w:numPr>
      </w:pPr>
      <w:r w:rsidRPr="00C74B35">
        <w:t xml:space="preserve">Further our operational alignment with Thames Valley partners through the introduction of common policy, guidance, equipment and training. </w:t>
      </w:r>
    </w:p>
    <w:p w:rsidR="0078447D" w:rsidRPr="00C74B35" w:rsidRDefault="0078447D" w:rsidP="00C74B35">
      <w:pPr>
        <w:pStyle w:val="ListNumber2"/>
        <w:numPr>
          <w:ilvl w:val="0"/>
          <w:numId w:val="17"/>
        </w:numPr>
      </w:pPr>
      <w:r w:rsidRPr="00C74B35">
        <w:t>Continue to support the Thames Valley alignment to the ISO Fire Investigation requirement.</w:t>
      </w:r>
    </w:p>
    <w:p w:rsidR="0078447D" w:rsidRPr="00C74B35" w:rsidRDefault="0078447D" w:rsidP="00C74B35">
      <w:pPr>
        <w:pStyle w:val="ListNumber2"/>
        <w:numPr>
          <w:ilvl w:val="0"/>
          <w:numId w:val="17"/>
        </w:numPr>
      </w:pPr>
      <w:r w:rsidRPr="00C74B35">
        <w:t>Explore opportunities and champion the work of the Fire and Rescue Indemnity Company Limited to reduce the frequency and cost of risk related incidents.</w:t>
      </w:r>
    </w:p>
    <w:p w:rsidR="00C74B35" w:rsidRDefault="0078447D" w:rsidP="0078447D">
      <w:pPr>
        <w:pStyle w:val="NoSpacing"/>
        <w:spacing w:line="360" w:lineRule="auto"/>
        <w:ind w:left="284"/>
        <w:rPr>
          <w:sz w:val="24"/>
          <w:szCs w:val="24"/>
        </w:rPr>
      </w:pPr>
      <w:r w:rsidRPr="00BF3C35">
        <w:rPr>
          <w:sz w:val="24"/>
          <w:szCs w:val="24"/>
          <w:highlight w:val="yellow"/>
        </w:rPr>
        <w:br/>
      </w:r>
    </w:p>
    <w:p w:rsidR="00C74B35" w:rsidRDefault="00C74B35" w:rsidP="00C74B35">
      <w:pPr>
        <w:rPr>
          <w:rFonts w:ascii="Arial" w:eastAsia="Times New Roman" w:hAnsi="Arial" w:cs="Arial"/>
          <w:lang w:eastAsia="en-GB"/>
        </w:rPr>
      </w:pPr>
      <w:r>
        <w:br w:type="page"/>
      </w:r>
    </w:p>
    <w:p w:rsidR="0078447D" w:rsidRPr="005A7712" w:rsidRDefault="005A7712" w:rsidP="005A7712">
      <w:pPr>
        <w:pStyle w:val="Heading1"/>
        <w:rPr>
          <w:noProof w:val="0"/>
        </w:rPr>
      </w:pPr>
      <w:bookmarkStart w:id="3" w:name="_Toc103861435"/>
      <w:r>
        <w:rPr>
          <w:noProof w:val="0"/>
        </w:rPr>
        <w:lastRenderedPageBreak/>
        <w:t>Delivery of the Annual Objectives</w:t>
      </w:r>
      <w:bookmarkEnd w:id="3"/>
    </w:p>
    <w:p w:rsidR="005A7712" w:rsidRPr="005A7712" w:rsidRDefault="005A7712" w:rsidP="005A7712">
      <w:pPr>
        <w:pStyle w:val="NoSpacing"/>
        <w:spacing w:line="276" w:lineRule="auto"/>
        <w:rPr>
          <w:rFonts w:asciiTheme="minorHAnsi" w:eastAsiaTheme="minorHAnsi" w:hAnsiTheme="minorHAnsi" w:cstheme="minorBidi"/>
          <w:sz w:val="24"/>
          <w:szCs w:val="24"/>
          <w:lang w:eastAsia="en-US"/>
        </w:rPr>
      </w:pPr>
      <w:r w:rsidRPr="005A7712">
        <w:rPr>
          <w:rFonts w:asciiTheme="minorHAnsi" w:eastAsiaTheme="minorHAnsi" w:hAnsiTheme="minorHAnsi" w:cstheme="minorBidi"/>
          <w:sz w:val="24"/>
          <w:szCs w:val="24"/>
          <w:lang w:eastAsia="en-US"/>
        </w:rPr>
        <w:t>Our Annual Objectives will be delivered through Service Plans. Projects will also be overseen by the Programme Board.</w:t>
      </w:r>
    </w:p>
    <w:p w:rsidR="005A7712" w:rsidRPr="00076402" w:rsidRDefault="005A7712" w:rsidP="005A7712">
      <w:pPr>
        <w:pStyle w:val="NoSpacing"/>
        <w:spacing w:line="276" w:lineRule="auto"/>
        <w:rPr>
          <w:color w:val="595959" w:themeColor="text1" w:themeTint="A6"/>
          <w:sz w:val="24"/>
          <w:szCs w:val="24"/>
          <w:highlight w:val="yellow"/>
        </w:rPr>
      </w:pPr>
    </w:p>
    <w:p w:rsidR="005A7712" w:rsidRPr="005A7712" w:rsidRDefault="005A7712" w:rsidP="005A7712">
      <w:pPr>
        <w:pStyle w:val="Heading3"/>
        <w:rPr>
          <w:noProof w:val="0"/>
        </w:rPr>
      </w:pPr>
      <w:bookmarkStart w:id="4" w:name="_Toc103861436"/>
      <w:r w:rsidRPr="005A7712">
        <w:rPr>
          <w:noProof w:val="0"/>
        </w:rPr>
        <w:t>Service Plans</w:t>
      </w:r>
      <w:bookmarkEnd w:id="4"/>
      <w:r w:rsidRPr="005A7712">
        <w:rPr>
          <w:noProof w:val="0"/>
        </w:rPr>
        <w:t xml:space="preserve"> </w:t>
      </w:r>
    </w:p>
    <w:p w:rsidR="005A7712" w:rsidRPr="005A7712" w:rsidRDefault="005A7712" w:rsidP="005A7712">
      <w:pPr>
        <w:pStyle w:val="NoSpacing"/>
        <w:spacing w:line="276" w:lineRule="auto"/>
        <w:rPr>
          <w:rFonts w:asciiTheme="minorHAnsi" w:eastAsiaTheme="minorHAnsi" w:hAnsiTheme="minorHAnsi" w:cstheme="minorBidi"/>
          <w:sz w:val="24"/>
          <w:szCs w:val="24"/>
          <w:lang w:eastAsia="en-US"/>
        </w:rPr>
      </w:pPr>
      <w:r w:rsidRPr="005A7712">
        <w:rPr>
          <w:rFonts w:asciiTheme="minorHAnsi" w:eastAsiaTheme="minorHAnsi" w:hAnsiTheme="minorHAnsi" w:cstheme="minorBidi"/>
          <w:sz w:val="24"/>
          <w:szCs w:val="24"/>
          <w:lang w:eastAsia="en-US"/>
        </w:rPr>
        <w:t>Heads of Service produce an annual Service Plan to assist in the management of day-to-day business. Service Plans include both business as usual and project activity and help to predict the resource levels, both for individual activities, and for the service as a whole. The delivery of Service Plans is further supported by individual employee objectives which are agreed with every member of staff and set out how each member of staff will help towards achieving the organisational goals.</w:t>
      </w:r>
    </w:p>
    <w:p w:rsidR="005A7712" w:rsidRPr="00076402" w:rsidRDefault="005A7712" w:rsidP="005A7712">
      <w:pPr>
        <w:pStyle w:val="NoSpacing"/>
        <w:spacing w:line="276" w:lineRule="auto"/>
        <w:rPr>
          <w:color w:val="595959" w:themeColor="text1" w:themeTint="A6"/>
          <w:sz w:val="24"/>
          <w:szCs w:val="24"/>
          <w:highlight w:val="yellow"/>
        </w:rPr>
      </w:pPr>
    </w:p>
    <w:p w:rsidR="005A7712" w:rsidRPr="005A7712" w:rsidRDefault="005A7712" w:rsidP="005A7712">
      <w:pPr>
        <w:pStyle w:val="Heading3"/>
        <w:rPr>
          <w:noProof w:val="0"/>
        </w:rPr>
      </w:pPr>
      <w:bookmarkStart w:id="5" w:name="_Toc103861437"/>
      <w:r w:rsidRPr="005A7712">
        <w:rPr>
          <w:noProof w:val="0"/>
        </w:rPr>
        <w:t>Local Safety Plans</w:t>
      </w:r>
      <w:bookmarkEnd w:id="5"/>
    </w:p>
    <w:p w:rsidR="005A7712" w:rsidRPr="005A7712" w:rsidRDefault="005A7712" w:rsidP="005A7712">
      <w:pPr>
        <w:pStyle w:val="NoSpacing"/>
        <w:spacing w:line="276" w:lineRule="auto"/>
        <w:rPr>
          <w:rFonts w:asciiTheme="minorHAnsi" w:eastAsiaTheme="minorHAnsi" w:hAnsiTheme="minorHAnsi" w:cstheme="minorBidi"/>
          <w:lang w:eastAsia="en-US"/>
        </w:rPr>
      </w:pPr>
      <w:r w:rsidRPr="005A7712">
        <w:rPr>
          <w:rFonts w:asciiTheme="minorHAnsi" w:eastAsiaTheme="minorHAnsi" w:hAnsiTheme="minorHAnsi" w:cstheme="minorBidi"/>
          <w:sz w:val="24"/>
          <w:szCs w:val="24"/>
          <w:lang w:eastAsia="en-US"/>
        </w:rPr>
        <w:t>We serve our communities through three Service Delivery Hubs, aligned to Unitary Authorities to strengthen local partnership working. The Hubs include integrated Prevention, Protection and Response teams. This model allows our staff to develop their understanding of risk at a local level and ensure resources are targeted accordingly. Each Unitary Authority area has a dedicated annual Local Safety Plan, which sets out localised risk and how resources will be targeted to meet that risk.</w:t>
      </w:r>
    </w:p>
    <w:p w:rsidR="005A7712" w:rsidRPr="00076402" w:rsidRDefault="005A7712" w:rsidP="005A7712">
      <w:pPr>
        <w:pStyle w:val="NoSpacing"/>
        <w:spacing w:line="276" w:lineRule="auto"/>
        <w:rPr>
          <w:color w:val="595959" w:themeColor="text1" w:themeTint="A6"/>
          <w:sz w:val="24"/>
          <w:szCs w:val="24"/>
          <w:highlight w:val="yellow"/>
        </w:rPr>
      </w:pPr>
      <w:r w:rsidRPr="00076402">
        <w:rPr>
          <w:noProof/>
          <w:highlight w:val="yellow"/>
        </w:rPr>
        <mc:AlternateContent>
          <mc:Choice Requires="wps">
            <w:drawing>
              <wp:anchor distT="0" distB="0" distL="114300" distR="114300" simplePos="0" relativeHeight="251659264" behindDoc="1" locked="0" layoutInCell="0" allowOverlap="1" wp14:anchorId="4544895B" wp14:editId="715652E7">
                <wp:simplePos x="0" y="0"/>
                <wp:positionH relativeFrom="margin">
                  <wp:posOffset>-19050</wp:posOffset>
                </wp:positionH>
                <wp:positionV relativeFrom="paragraph">
                  <wp:posOffset>635</wp:posOffset>
                </wp:positionV>
                <wp:extent cx="6276975" cy="2695575"/>
                <wp:effectExtent l="0" t="0" r="9525" b="9525"/>
                <wp:wrapNone/>
                <wp:docPr id="13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6975" cy="2695575"/>
                        </a:xfrm>
                        <a:custGeom>
                          <a:avLst/>
                          <a:gdLst>
                            <a:gd name="T0" fmla="*/ 9646 w 9647"/>
                            <a:gd name="T1" fmla="*/ 1093 h 2188"/>
                            <a:gd name="T2" fmla="*/ 8114 w 9647"/>
                            <a:gd name="T3" fmla="*/ 0 h 2188"/>
                            <a:gd name="T4" fmla="*/ 8114 w 9647"/>
                            <a:gd name="T5" fmla="*/ 379 h 2188"/>
                            <a:gd name="T6" fmla="*/ 0 w 9647"/>
                            <a:gd name="T7" fmla="*/ 379 h 2188"/>
                            <a:gd name="T8" fmla="*/ 0 w 9647"/>
                            <a:gd name="T9" fmla="*/ 1807 h 2188"/>
                            <a:gd name="T10" fmla="*/ 8114 w 9647"/>
                            <a:gd name="T11" fmla="*/ 1807 h 2188"/>
                            <a:gd name="T12" fmla="*/ 8114 w 9647"/>
                            <a:gd name="T13" fmla="*/ 2187 h 2188"/>
                            <a:gd name="T14" fmla="*/ 9646 w 9647"/>
                            <a:gd name="T15" fmla="*/ 1093 h 21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47" h="2188">
                              <a:moveTo>
                                <a:pt x="9646" y="1093"/>
                              </a:moveTo>
                              <a:lnTo>
                                <a:pt x="8114" y="0"/>
                              </a:lnTo>
                              <a:lnTo>
                                <a:pt x="8114" y="379"/>
                              </a:lnTo>
                              <a:lnTo>
                                <a:pt x="0" y="379"/>
                              </a:lnTo>
                              <a:lnTo>
                                <a:pt x="0" y="1807"/>
                              </a:lnTo>
                              <a:lnTo>
                                <a:pt x="8114" y="1807"/>
                              </a:lnTo>
                              <a:lnTo>
                                <a:pt x="8114" y="2187"/>
                              </a:lnTo>
                              <a:lnTo>
                                <a:pt x="9646" y="1093"/>
                              </a:lnTo>
                            </a:path>
                          </a:pathLst>
                        </a:custGeom>
                        <a:solidFill>
                          <a:srgbClr val="E2241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B5507" id="Freeform 131" o:spid="_x0000_s1026" style="position:absolute;margin-left:-1.5pt;margin-top:.05pt;width:494.25pt;height:21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647,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" o:allowincell="f" path="m9646,1093l8114,r,379l,379,,1807r8114,l8114,2187,9646,1093e" fillcolor="#e2241d" stroked="f">
                <v:path arrowok="t" o:connecttype="custom" o:connectlocs="6276324,1346556;5279504,0;5279504,466921;0,466921;0,2226190;5279504,2226190;5279504,2694343;6276324,1346556" o:connectangles="0,0,0,0,0,0,0,0"/>
                <w10:wrap anchorx="margin"/>
              </v:shape>
            </w:pict>
          </mc:Fallback>
        </mc:AlternateContent>
      </w:r>
    </w:p>
    <w:p w:rsidR="005A7712" w:rsidRPr="00076402" w:rsidRDefault="005A7712" w:rsidP="005A7712">
      <w:pPr>
        <w:pStyle w:val="NoSpacing"/>
        <w:spacing w:line="276" w:lineRule="auto"/>
        <w:rPr>
          <w:highlight w:val="yellow"/>
        </w:rPr>
      </w:pPr>
    </w:p>
    <w:tbl>
      <w:tblPr>
        <w:tblpPr w:leftFromText="180" w:rightFromText="180" w:vertAnchor="text" w:horzAnchor="margin" w:tblpY="144"/>
        <w:tblW w:w="0" w:type="auto"/>
        <w:tblCellSpacing w:w="37" w:type="dxa"/>
        <w:tblLayout w:type="fixed"/>
        <w:tblCellMar>
          <w:left w:w="0" w:type="dxa"/>
          <w:right w:w="0" w:type="dxa"/>
        </w:tblCellMar>
        <w:tblLook w:val="0000" w:firstRow="0" w:lastRow="0" w:firstColumn="0" w:lastColumn="0" w:noHBand="0" w:noVBand="0"/>
      </w:tblPr>
      <w:tblGrid>
        <w:gridCol w:w="1911"/>
        <w:gridCol w:w="1942"/>
        <w:gridCol w:w="1942"/>
        <w:gridCol w:w="1912"/>
      </w:tblGrid>
      <w:tr w:rsidR="005A7712" w:rsidRPr="00076402" w:rsidTr="00F777ED">
        <w:trPr>
          <w:trHeight w:val="1468"/>
          <w:tblCellSpacing w:w="37" w:type="dxa"/>
        </w:trPr>
        <w:tc>
          <w:tcPr>
            <w:tcW w:w="1800" w:type="dxa"/>
            <w:tcBorders>
              <w:top w:val="none" w:sz="6" w:space="0" w:color="auto"/>
              <w:left w:val="none" w:sz="6" w:space="0" w:color="auto"/>
              <w:bottom w:val="none" w:sz="6" w:space="0" w:color="auto"/>
              <w:right w:val="none" w:sz="34" w:space="0" w:color="auto"/>
            </w:tcBorders>
            <w:shd w:val="clear" w:color="auto" w:fill="E0E0E0"/>
          </w:tcPr>
          <w:p w:rsidR="005A7712" w:rsidRPr="005A7712" w:rsidRDefault="005A7712" w:rsidP="00F777ED">
            <w:pPr>
              <w:pStyle w:val="TableParagraph"/>
              <w:kinsoku w:val="0"/>
              <w:overflowPunct w:val="0"/>
              <w:spacing w:before="49" w:line="276" w:lineRule="auto"/>
              <w:ind w:left="83"/>
              <w:rPr>
                <w:color w:val="231F20"/>
                <w:sz w:val="24"/>
                <w:szCs w:val="24"/>
              </w:rPr>
            </w:pPr>
            <w:r w:rsidRPr="005A7712">
              <w:rPr>
                <w:b/>
                <w:bCs/>
                <w:color w:val="231F20"/>
                <w:sz w:val="24"/>
                <w:szCs w:val="24"/>
              </w:rPr>
              <w:t xml:space="preserve">Fire Authority </w:t>
            </w:r>
            <w:r w:rsidRPr="005A7712">
              <w:rPr>
                <w:color w:val="231F20"/>
                <w:sz w:val="24"/>
                <w:szCs w:val="24"/>
              </w:rPr>
              <w:t>Strategic Commitments set for 2019- 2023</w:t>
            </w:r>
          </w:p>
        </w:tc>
        <w:tc>
          <w:tcPr>
            <w:tcW w:w="1868" w:type="dxa"/>
            <w:tcBorders>
              <w:top w:val="none" w:sz="6" w:space="0" w:color="auto"/>
              <w:left w:val="none" w:sz="34" w:space="0" w:color="auto"/>
              <w:bottom w:val="none" w:sz="6" w:space="0" w:color="auto"/>
              <w:right w:val="none" w:sz="34" w:space="0" w:color="auto"/>
            </w:tcBorders>
            <w:shd w:val="clear" w:color="auto" w:fill="E0E0E0"/>
          </w:tcPr>
          <w:p w:rsidR="005A7712" w:rsidRPr="005A7712" w:rsidRDefault="005A7712" w:rsidP="00F777ED">
            <w:pPr>
              <w:pStyle w:val="TableParagraph"/>
              <w:kinsoku w:val="0"/>
              <w:overflowPunct w:val="0"/>
              <w:spacing w:before="49" w:line="276" w:lineRule="auto"/>
              <w:ind w:left="20" w:right="155"/>
              <w:rPr>
                <w:color w:val="231F20"/>
                <w:sz w:val="24"/>
                <w:szCs w:val="24"/>
              </w:rPr>
            </w:pPr>
            <w:r w:rsidRPr="005A7712">
              <w:rPr>
                <w:b/>
                <w:bCs/>
                <w:color w:val="231F20"/>
                <w:sz w:val="24"/>
                <w:szCs w:val="24"/>
              </w:rPr>
              <w:t xml:space="preserve">Senior  Leadership </w:t>
            </w:r>
            <w:r w:rsidRPr="005A7712">
              <w:rPr>
                <w:b/>
                <w:bCs/>
                <w:color w:val="231F20"/>
                <w:spacing w:val="-9"/>
                <w:sz w:val="24"/>
                <w:szCs w:val="24"/>
              </w:rPr>
              <w:t xml:space="preserve">Team </w:t>
            </w:r>
            <w:r w:rsidRPr="005A7712">
              <w:rPr>
                <w:bCs/>
                <w:color w:val="231F20"/>
                <w:spacing w:val="-9"/>
                <w:sz w:val="24"/>
                <w:szCs w:val="24"/>
              </w:rPr>
              <w:t xml:space="preserve">set  the </w:t>
            </w:r>
            <w:r w:rsidRPr="005A7712">
              <w:rPr>
                <w:color w:val="231F20"/>
                <w:sz w:val="24"/>
                <w:szCs w:val="24"/>
              </w:rPr>
              <w:t>Annual Objectives, which are agreed by Fire Authority</w:t>
            </w:r>
          </w:p>
        </w:tc>
        <w:tc>
          <w:tcPr>
            <w:tcW w:w="1868" w:type="dxa"/>
            <w:tcBorders>
              <w:top w:val="none" w:sz="6" w:space="0" w:color="auto"/>
              <w:left w:val="none" w:sz="34" w:space="0" w:color="auto"/>
              <w:bottom w:val="none" w:sz="6" w:space="0" w:color="auto"/>
              <w:right w:val="none" w:sz="34" w:space="0" w:color="auto"/>
            </w:tcBorders>
            <w:shd w:val="clear" w:color="auto" w:fill="E0E0E0"/>
          </w:tcPr>
          <w:p w:rsidR="005A7712" w:rsidRPr="005A7712" w:rsidRDefault="005A7712" w:rsidP="00F777ED">
            <w:pPr>
              <w:pStyle w:val="TableParagraph"/>
              <w:kinsoku w:val="0"/>
              <w:overflowPunct w:val="0"/>
              <w:spacing w:before="49" w:line="276" w:lineRule="auto"/>
              <w:ind w:left="77" w:right="155"/>
              <w:rPr>
                <w:color w:val="231F20"/>
                <w:sz w:val="24"/>
                <w:szCs w:val="24"/>
              </w:rPr>
            </w:pPr>
            <w:r w:rsidRPr="005A7712">
              <w:rPr>
                <w:b/>
                <w:bCs/>
                <w:color w:val="231F20"/>
                <w:sz w:val="24"/>
                <w:szCs w:val="24"/>
              </w:rPr>
              <w:t>Head</w:t>
            </w:r>
            <w:r w:rsidR="003E54EC">
              <w:rPr>
                <w:b/>
                <w:bCs/>
                <w:color w:val="231F20"/>
                <w:sz w:val="24"/>
                <w:szCs w:val="24"/>
              </w:rPr>
              <w:t>s</w:t>
            </w:r>
            <w:r w:rsidRPr="005A7712">
              <w:rPr>
                <w:b/>
                <w:bCs/>
                <w:color w:val="231F20"/>
                <w:sz w:val="24"/>
                <w:szCs w:val="24"/>
              </w:rPr>
              <w:t xml:space="preserve"> of Service </w:t>
            </w:r>
            <w:r w:rsidRPr="005A7712">
              <w:rPr>
                <w:bCs/>
                <w:color w:val="231F20"/>
                <w:sz w:val="24"/>
                <w:szCs w:val="24"/>
              </w:rPr>
              <w:t xml:space="preserve">set </w:t>
            </w:r>
            <w:r w:rsidRPr="005A7712">
              <w:rPr>
                <w:color w:val="231F20"/>
                <w:sz w:val="24"/>
                <w:szCs w:val="24"/>
              </w:rPr>
              <w:t>Service Plan and Local Safety Plan objectives annually</w:t>
            </w:r>
          </w:p>
        </w:tc>
        <w:tc>
          <w:tcPr>
            <w:tcW w:w="1801" w:type="dxa"/>
            <w:tcBorders>
              <w:top w:val="none" w:sz="6" w:space="0" w:color="auto"/>
              <w:left w:val="none" w:sz="34" w:space="0" w:color="auto"/>
              <w:bottom w:val="none" w:sz="6" w:space="0" w:color="auto"/>
              <w:right w:val="none" w:sz="6" w:space="0" w:color="auto"/>
            </w:tcBorders>
            <w:shd w:val="clear" w:color="auto" w:fill="E0E0E0"/>
          </w:tcPr>
          <w:p w:rsidR="005A7712" w:rsidRPr="005A7712" w:rsidRDefault="005A7712" w:rsidP="00F777ED">
            <w:pPr>
              <w:pStyle w:val="TableParagraph"/>
              <w:kinsoku w:val="0"/>
              <w:overflowPunct w:val="0"/>
              <w:spacing w:before="49" w:line="276" w:lineRule="auto"/>
              <w:ind w:left="77"/>
              <w:rPr>
                <w:color w:val="231F20"/>
                <w:sz w:val="24"/>
                <w:szCs w:val="24"/>
              </w:rPr>
            </w:pPr>
            <w:r w:rsidRPr="005A7712">
              <w:rPr>
                <w:b/>
                <w:bCs/>
                <w:color w:val="231F20"/>
                <w:sz w:val="24"/>
                <w:szCs w:val="24"/>
              </w:rPr>
              <w:t xml:space="preserve">Managers/ Employees </w:t>
            </w:r>
            <w:r w:rsidRPr="005A7712">
              <w:rPr>
                <w:bCs/>
                <w:color w:val="231F20"/>
                <w:sz w:val="24"/>
                <w:szCs w:val="24"/>
              </w:rPr>
              <w:t xml:space="preserve">set </w:t>
            </w:r>
            <w:r w:rsidRPr="005A7712">
              <w:rPr>
                <w:color w:val="231F20"/>
                <w:sz w:val="24"/>
                <w:szCs w:val="24"/>
              </w:rPr>
              <w:t>Individual objectives annually</w:t>
            </w:r>
          </w:p>
        </w:tc>
      </w:tr>
    </w:tbl>
    <w:p w:rsidR="005A7712" w:rsidRPr="00076402" w:rsidRDefault="005A7712" w:rsidP="005A7712">
      <w:pPr>
        <w:pStyle w:val="NoSpacing"/>
        <w:spacing w:line="276" w:lineRule="auto"/>
        <w:rPr>
          <w:highlight w:val="yellow"/>
        </w:rPr>
      </w:pPr>
    </w:p>
    <w:p w:rsidR="005A7712" w:rsidRPr="00076402" w:rsidRDefault="005A7712" w:rsidP="005A7712">
      <w:pPr>
        <w:pStyle w:val="NoSpacing"/>
        <w:spacing w:line="276" w:lineRule="auto"/>
        <w:rPr>
          <w:highlight w:val="yellow"/>
        </w:rPr>
      </w:pPr>
    </w:p>
    <w:p w:rsidR="005A7712" w:rsidRPr="00076402" w:rsidRDefault="005A7712" w:rsidP="005A7712">
      <w:pPr>
        <w:pStyle w:val="NoSpacing"/>
        <w:spacing w:line="276" w:lineRule="auto"/>
        <w:rPr>
          <w:highlight w:val="yellow"/>
        </w:rPr>
      </w:pPr>
    </w:p>
    <w:p w:rsidR="005A7712" w:rsidRPr="00076402" w:rsidRDefault="005A7712" w:rsidP="005A7712">
      <w:pPr>
        <w:pStyle w:val="BodyText"/>
        <w:kinsoku w:val="0"/>
        <w:overflowPunct w:val="0"/>
        <w:spacing w:line="276" w:lineRule="auto"/>
        <w:rPr>
          <w:sz w:val="22"/>
          <w:szCs w:val="22"/>
          <w:highlight w:val="yellow"/>
        </w:rPr>
      </w:pPr>
    </w:p>
    <w:p w:rsidR="005A7712" w:rsidRPr="00076402" w:rsidRDefault="005A7712" w:rsidP="005A7712">
      <w:pPr>
        <w:pStyle w:val="BodyText"/>
        <w:kinsoku w:val="0"/>
        <w:overflowPunct w:val="0"/>
        <w:spacing w:line="276" w:lineRule="auto"/>
        <w:rPr>
          <w:sz w:val="22"/>
          <w:szCs w:val="22"/>
          <w:highlight w:val="yellow"/>
        </w:rPr>
      </w:pPr>
    </w:p>
    <w:p w:rsidR="005A7712" w:rsidRPr="00076402" w:rsidRDefault="005A7712" w:rsidP="005A7712">
      <w:pPr>
        <w:pStyle w:val="BodyText"/>
        <w:kinsoku w:val="0"/>
        <w:overflowPunct w:val="0"/>
        <w:spacing w:line="276" w:lineRule="auto"/>
        <w:rPr>
          <w:sz w:val="22"/>
          <w:szCs w:val="22"/>
          <w:highlight w:val="yellow"/>
        </w:rPr>
      </w:pPr>
    </w:p>
    <w:p w:rsidR="005A7712" w:rsidRPr="00076402" w:rsidRDefault="005A7712" w:rsidP="005A7712">
      <w:pPr>
        <w:pStyle w:val="BodyText"/>
        <w:kinsoku w:val="0"/>
        <w:overflowPunct w:val="0"/>
        <w:spacing w:line="276" w:lineRule="auto"/>
        <w:rPr>
          <w:sz w:val="22"/>
          <w:szCs w:val="22"/>
          <w:highlight w:val="yellow"/>
        </w:rPr>
      </w:pPr>
    </w:p>
    <w:p w:rsidR="005A7712" w:rsidRPr="00076402" w:rsidRDefault="005A7712" w:rsidP="005A7712">
      <w:pPr>
        <w:pStyle w:val="BodyText"/>
        <w:kinsoku w:val="0"/>
        <w:overflowPunct w:val="0"/>
        <w:spacing w:before="5" w:line="276" w:lineRule="auto"/>
        <w:rPr>
          <w:sz w:val="28"/>
          <w:szCs w:val="28"/>
          <w:highlight w:val="yellow"/>
        </w:rPr>
      </w:pPr>
    </w:p>
    <w:p w:rsidR="005A7712" w:rsidRPr="00076402" w:rsidRDefault="005A7712" w:rsidP="005A7712">
      <w:pPr>
        <w:pStyle w:val="BodyText"/>
        <w:kinsoku w:val="0"/>
        <w:overflowPunct w:val="0"/>
        <w:spacing w:before="5" w:line="276" w:lineRule="auto"/>
        <w:rPr>
          <w:sz w:val="28"/>
          <w:szCs w:val="28"/>
          <w:highlight w:val="yellow"/>
        </w:rPr>
      </w:pPr>
    </w:p>
    <w:p w:rsidR="005A7712" w:rsidRPr="00076402" w:rsidRDefault="005A7712" w:rsidP="005A7712">
      <w:pPr>
        <w:pStyle w:val="BodyText"/>
        <w:kinsoku w:val="0"/>
        <w:overflowPunct w:val="0"/>
        <w:spacing w:before="5" w:line="276" w:lineRule="auto"/>
        <w:rPr>
          <w:sz w:val="28"/>
          <w:szCs w:val="28"/>
          <w:highlight w:val="yellow"/>
        </w:rPr>
      </w:pPr>
    </w:p>
    <w:p w:rsidR="00985E4D" w:rsidRDefault="00985E4D">
      <w:pPr>
        <w:rPr>
          <w:rFonts w:asciiTheme="majorHAnsi" w:eastAsiaTheme="majorEastAsia" w:hAnsiTheme="majorHAnsi" w:cstheme="majorBidi"/>
          <w:b/>
          <w:sz w:val="44"/>
        </w:rPr>
      </w:pPr>
      <w:r>
        <w:br w:type="page"/>
      </w:r>
    </w:p>
    <w:p w:rsidR="005A7712" w:rsidRPr="00017432" w:rsidRDefault="005A7712" w:rsidP="005A7712">
      <w:pPr>
        <w:pStyle w:val="Heading3"/>
        <w:rPr>
          <w:b w:val="0"/>
          <w:color w:val="E2241D"/>
          <w:sz w:val="28"/>
          <w:szCs w:val="28"/>
        </w:rPr>
      </w:pPr>
      <w:bookmarkStart w:id="6" w:name="_Toc103861438"/>
      <w:r w:rsidRPr="005A7712">
        <w:rPr>
          <w:noProof w:val="0"/>
        </w:rPr>
        <w:lastRenderedPageBreak/>
        <w:t>Programme Board</w:t>
      </w:r>
      <w:bookmarkEnd w:id="6"/>
    </w:p>
    <w:p w:rsidR="005A7712" w:rsidRPr="00017432" w:rsidRDefault="005A7712" w:rsidP="005A7712">
      <w:pPr>
        <w:spacing w:after="0"/>
      </w:pPr>
      <w:r w:rsidRPr="005A7712">
        <w:t>Our priority projects are overseen by the Programme Board. The primary focus of the Programme Board in 2022/23 will be to oversee the delivery of projects of strategic importance including, but not limited to, the</w:t>
      </w:r>
      <w:r w:rsidRPr="00017432">
        <w:rPr>
          <w:color w:val="595959" w:themeColor="text1" w:themeTint="A6"/>
        </w:rPr>
        <w:t xml:space="preserve"> </w:t>
      </w:r>
      <w:hyperlink r:id="rId16" w:history="1">
        <w:r w:rsidRPr="00017432">
          <w:rPr>
            <w:rStyle w:val="Hyperlink"/>
          </w:rPr>
          <w:t>CRMP</w:t>
        </w:r>
      </w:hyperlink>
      <w:r w:rsidRPr="00017432">
        <w:rPr>
          <w:color w:val="595959" w:themeColor="text1" w:themeTint="A6"/>
        </w:rPr>
        <w:t xml:space="preserve"> </w:t>
      </w:r>
      <w:r w:rsidRPr="005A7712">
        <w:t xml:space="preserve">and </w:t>
      </w:r>
      <w:hyperlink r:id="rId17" w:history="1">
        <w:r w:rsidRPr="00017432">
          <w:rPr>
            <w:rStyle w:val="Hyperlink"/>
          </w:rPr>
          <w:t>People Strategy</w:t>
        </w:r>
      </w:hyperlink>
      <w:r w:rsidRPr="00017432">
        <w:t>.</w:t>
      </w:r>
    </w:p>
    <w:p w:rsidR="005A7712" w:rsidRPr="00076402" w:rsidRDefault="005A7712" w:rsidP="005A7712">
      <w:pPr>
        <w:spacing w:after="0"/>
        <w:rPr>
          <w:highlight w:val="yellow"/>
        </w:rPr>
      </w:pPr>
    </w:p>
    <w:p w:rsidR="005A7712" w:rsidRPr="005A7712" w:rsidRDefault="005A7712" w:rsidP="005A7712">
      <w:pPr>
        <w:pStyle w:val="Heading3"/>
        <w:rPr>
          <w:noProof w:val="0"/>
        </w:rPr>
      </w:pPr>
      <w:bookmarkStart w:id="7" w:name="_Toc103861439"/>
      <w:r w:rsidRPr="005A7712">
        <w:rPr>
          <w:noProof w:val="0"/>
        </w:rPr>
        <w:t>Performance Management</w:t>
      </w:r>
      <w:bookmarkEnd w:id="7"/>
    </w:p>
    <w:p w:rsidR="005A7712" w:rsidRPr="005A7712" w:rsidRDefault="005A7712" w:rsidP="005A7712">
      <w:pPr>
        <w:pStyle w:val="NoSpacing"/>
        <w:spacing w:line="276" w:lineRule="auto"/>
        <w:rPr>
          <w:rFonts w:asciiTheme="minorHAnsi" w:eastAsiaTheme="minorHAnsi" w:hAnsiTheme="minorHAnsi" w:cstheme="minorBidi"/>
          <w:sz w:val="24"/>
          <w:szCs w:val="24"/>
          <w:lang w:eastAsia="en-US"/>
        </w:rPr>
      </w:pPr>
      <w:r w:rsidRPr="005A7712">
        <w:rPr>
          <w:rFonts w:asciiTheme="minorHAnsi" w:eastAsiaTheme="minorHAnsi" w:hAnsiTheme="minorHAnsi" w:cstheme="minorBidi"/>
          <w:sz w:val="24"/>
          <w:szCs w:val="24"/>
          <w:lang w:eastAsia="en-US"/>
        </w:rPr>
        <w:t>Ongoing analysis of performance data supports decision making across the organisation. Management teams review and monitor data and information regularly.  The Strategic Performance Board monitors performance in all four quadrants (as set out below) on a quarterly basis. A quarterly Strategic Performance Report is then reviewed by the Senior Leadership Team and scrutinised by the Audit and Governance Committee.</w:t>
      </w:r>
    </w:p>
    <w:p w:rsidR="005A7712" w:rsidRPr="00076402" w:rsidRDefault="005A7712" w:rsidP="005A7712">
      <w:pPr>
        <w:spacing w:after="0"/>
        <w:rPr>
          <w:highlight w:val="yellow"/>
        </w:rPr>
      </w:pPr>
    </w:p>
    <w:p w:rsidR="005A7712" w:rsidRDefault="005A7712" w:rsidP="005A7712">
      <w:pPr>
        <w:pStyle w:val="Heading4"/>
        <w:rPr>
          <w:noProof w:val="0"/>
        </w:rPr>
      </w:pPr>
      <w:r w:rsidRPr="005A7712">
        <w:rPr>
          <w:noProof w:val="0"/>
        </w:rPr>
        <w:t>Reporting is structured into four quadrants</w:t>
      </w:r>
    </w:p>
    <w:p w:rsidR="00985E4D" w:rsidRPr="00985E4D" w:rsidRDefault="00985E4D" w:rsidP="00985E4D">
      <w:r w:rsidRPr="00076402">
        <w:rPr>
          <w:noProof/>
          <w:highlight w:val="yellow"/>
          <w:lang w:eastAsia="en-GB"/>
        </w:rPr>
        <mc:AlternateContent>
          <mc:Choice Requires="wpg">
            <w:drawing>
              <wp:anchor distT="0" distB="0" distL="0" distR="0" simplePos="0" relativeHeight="251660288" behindDoc="0" locked="0" layoutInCell="0" allowOverlap="1" wp14:anchorId="17B768DF" wp14:editId="723EFDB6">
                <wp:simplePos x="0" y="0"/>
                <wp:positionH relativeFrom="margin">
                  <wp:align>left</wp:align>
                </wp:positionH>
                <wp:positionV relativeFrom="margin">
                  <wp:posOffset>3463290</wp:posOffset>
                </wp:positionV>
                <wp:extent cx="4643120" cy="4533900"/>
                <wp:effectExtent l="0" t="0" r="5080" b="19050"/>
                <wp:wrapSquare wrapText="bothSides"/>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120" cy="4533900"/>
                          <a:chOff x="1134" y="375"/>
                          <a:chExt cx="9638" cy="9728"/>
                        </a:xfrm>
                      </wpg:grpSpPr>
                      <wps:wsp>
                        <wps:cNvPr id="133" name="Freeform 15"/>
                        <wps:cNvSpPr>
                          <a:spLocks/>
                        </wps:cNvSpPr>
                        <wps:spPr bwMode="auto">
                          <a:xfrm>
                            <a:off x="5825" y="762"/>
                            <a:ext cx="255" cy="4361"/>
                          </a:xfrm>
                          <a:custGeom>
                            <a:avLst/>
                            <a:gdLst>
                              <a:gd name="T0" fmla="*/ 0 w 255"/>
                              <a:gd name="T1" fmla="*/ 4360 h 4361"/>
                              <a:gd name="T2" fmla="*/ 254 w 255"/>
                              <a:gd name="T3" fmla="*/ 4360 h 4361"/>
                              <a:gd name="T4" fmla="*/ 254 w 255"/>
                              <a:gd name="T5" fmla="*/ 0 h 4361"/>
                              <a:gd name="T6" fmla="*/ 0 w 255"/>
                              <a:gd name="T7" fmla="*/ 0 h 4361"/>
                              <a:gd name="T8" fmla="*/ 0 w 255"/>
                              <a:gd name="T9" fmla="*/ 4360 h 4361"/>
                            </a:gdLst>
                            <a:ahLst/>
                            <a:cxnLst>
                              <a:cxn ang="0">
                                <a:pos x="T0" y="T1"/>
                              </a:cxn>
                              <a:cxn ang="0">
                                <a:pos x="T2" y="T3"/>
                              </a:cxn>
                              <a:cxn ang="0">
                                <a:pos x="T4" y="T5"/>
                              </a:cxn>
                              <a:cxn ang="0">
                                <a:pos x="T6" y="T7"/>
                              </a:cxn>
                              <a:cxn ang="0">
                                <a:pos x="T8" y="T9"/>
                              </a:cxn>
                            </a:cxnLst>
                            <a:rect l="0" t="0" r="r" b="b"/>
                            <a:pathLst>
                              <a:path w="255" h="4361">
                                <a:moveTo>
                                  <a:pt x="0" y="4360"/>
                                </a:moveTo>
                                <a:lnTo>
                                  <a:pt x="254" y="4360"/>
                                </a:lnTo>
                                <a:lnTo>
                                  <a:pt x="254" y="0"/>
                                </a:lnTo>
                                <a:lnTo>
                                  <a:pt x="0" y="0"/>
                                </a:lnTo>
                                <a:lnTo>
                                  <a:pt x="0" y="436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6"/>
                        <wps:cNvSpPr>
                          <a:spLocks/>
                        </wps:cNvSpPr>
                        <wps:spPr bwMode="auto">
                          <a:xfrm>
                            <a:off x="5825" y="5377"/>
                            <a:ext cx="255" cy="4361"/>
                          </a:xfrm>
                          <a:custGeom>
                            <a:avLst/>
                            <a:gdLst>
                              <a:gd name="T0" fmla="*/ 0 w 255"/>
                              <a:gd name="T1" fmla="*/ 4360 h 4361"/>
                              <a:gd name="T2" fmla="*/ 254 w 255"/>
                              <a:gd name="T3" fmla="*/ 4360 h 4361"/>
                              <a:gd name="T4" fmla="*/ 254 w 255"/>
                              <a:gd name="T5" fmla="*/ 0 h 4361"/>
                              <a:gd name="T6" fmla="*/ 0 w 255"/>
                              <a:gd name="T7" fmla="*/ 0 h 4361"/>
                              <a:gd name="T8" fmla="*/ 0 w 255"/>
                              <a:gd name="T9" fmla="*/ 4360 h 4361"/>
                            </a:gdLst>
                            <a:ahLst/>
                            <a:cxnLst>
                              <a:cxn ang="0">
                                <a:pos x="T0" y="T1"/>
                              </a:cxn>
                              <a:cxn ang="0">
                                <a:pos x="T2" y="T3"/>
                              </a:cxn>
                              <a:cxn ang="0">
                                <a:pos x="T4" y="T5"/>
                              </a:cxn>
                              <a:cxn ang="0">
                                <a:pos x="T6" y="T7"/>
                              </a:cxn>
                              <a:cxn ang="0">
                                <a:pos x="T8" y="T9"/>
                              </a:cxn>
                            </a:cxnLst>
                            <a:rect l="0" t="0" r="r" b="b"/>
                            <a:pathLst>
                              <a:path w="255" h="4361">
                                <a:moveTo>
                                  <a:pt x="0" y="4360"/>
                                </a:moveTo>
                                <a:lnTo>
                                  <a:pt x="254" y="4360"/>
                                </a:lnTo>
                                <a:lnTo>
                                  <a:pt x="254" y="0"/>
                                </a:lnTo>
                                <a:lnTo>
                                  <a:pt x="0" y="0"/>
                                </a:lnTo>
                                <a:lnTo>
                                  <a:pt x="0" y="436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7"/>
                        <wps:cNvSpPr>
                          <a:spLocks/>
                        </wps:cNvSpPr>
                        <wps:spPr bwMode="auto">
                          <a:xfrm>
                            <a:off x="1307" y="5122"/>
                            <a:ext cx="8976" cy="255"/>
                          </a:xfrm>
                          <a:custGeom>
                            <a:avLst/>
                            <a:gdLst>
                              <a:gd name="T0" fmla="*/ 8975 w 8976"/>
                              <a:gd name="T1" fmla="*/ 0 h 255"/>
                              <a:gd name="T2" fmla="*/ 0 w 8976"/>
                              <a:gd name="T3" fmla="*/ 0 h 255"/>
                              <a:gd name="T4" fmla="*/ 0 w 8976"/>
                              <a:gd name="T5" fmla="*/ 254 h 255"/>
                              <a:gd name="T6" fmla="*/ 8975 w 8976"/>
                              <a:gd name="T7" fmla="*/ 254 h 255"/>
                              <a:gd name="T8" fmla="*/ 8975 w 8976"/>
                              <a:gd name="T9" fmla="*/ 0 h 255"/>
                            </a:gdLst>
                            <a:ahLst/>
                            <a:cxnLst>
                              <a:cxn ang="0">
                                <a:pos x="T0" y="T1"/>
                              </a:cxn>
                              <a:cxn ang="0">
                                <a:pos x="T2" y="T3"/>
                              </a:cxn>
                              <a:cxn ang="0">
                                <a:pos x="T4" y="T5"/>
                              </a:cxn>
                              <a:cxn ang="0">
                                <a:pos x="T6" y="T7"/>
                              </a:cxn>
                              <a:cxn ang="0">
                                <a:pos x="T8" y="T9"/>
                              </a:cxn>
                            </a:cxnLst>
                            <a:rect l="0" t="0" r="r" b="b"/>
                            <a:pathLst>
                              <a:path w="8976" h="255">
                                <a:moveTo>
                                  <a:pt x="8975" y="0"/>
                                </a:moveTo>
                                <a:lnTo>
                                  <a:pt x="0" y="0"/>
                                </a:lnTo>
                                <a:lnTo>
                                  <a:pt x="0" y="254"/>
                                </a:lnTo>
                                <a:lnTo>
                                  <a:pt x="8975" y="254"/>
                                </a:lnTo>
                                <a:lnTo>
                                  <a:pt x="8975"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8"/>
                        <wps:cNvSpPr>
                          <a:spLocks/>
                        </wps:cNvSpPr>
                        <wps:spPr bwMode="auto">
                          <a:xfrm>
                            <a:off x="5408" y="396"/>
                            <a:ext cx="1089" cy="714"/>
                          </a:xfrm>
                          <a:custGeom>
                            <a:avLst/>
                            <a:gdLst>
                              <a:gd name="T0" fmla="*/ 544 w 1089"/>
                              <a:gd name="T1" fmla="*/ 0 h 714"/>
                              <a:gd name="T2" fmla="*/ 0 w 1089"/>
                              <a:gd name="T3" fmla="*/ 713 h 714"/>
                              <a:gd name="T4" fmla="*/ 1088 w 1089"/>
                              <a:gd name="T5" fmla="*/ 713 h 714"/>
                              <a:gd name="T6" fmla="*/ 544 w 1089"/>
                              <a:gd name="T7" fmla="*/ 0 h 714"/>
                            </a:gdLst>
                            <a:ahLst/>
                            <a:cxnLst>
                              <a:cxn ang="0">
                                <a:pos x="T0" y="T1"/>
                              </a:cxn>
                              <a:cxn ang="0">
                                <a:pos x="T2" y="T3"/>
                              </a:cxn>
                              <a:cxn ang="0">
                                <a:pos x="T4" y="T5"/>
                              </a:cxn>
                              <a:cxn ang="0">
                                <a:pos x="T6" y="T7"/>
                              </a:cxn>
                            </a:cxnLst>
                            <a:rect l="0" t="0" r="r" b="b"/>
                            <a:pathLst>
                              <a:path w="1089" h="714">
                                <a:moveTo>
                                  <a:pt x="544" y="0"/>
                                </a:moveTo>
                                <a:lnTo>
                                  <a:pt x="0" y="713"/>
                                </a:lnTo>
                                <a:lnTo>
                                  <a:pt x="1088" y="713"/>
                                </a:lnTo>
                                <a:lnTo>
                                  <a:pt x="544"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9"/>
                        <wps:cNvSpPr>
                          <a:spLocks/>
                        </wps:cNvSpPr>
                        <wps:spPr bwMode="auto">
                          <a:xfrm>
                            <a:off x="5408" y="396"/>
                            <a:ext cx="1089" cy="714"/>
                          </a:xfrm>
                          <a:custGeom>
                            <a:avLst/>
                            <a:gdLst>
                              <a:gd name="T0" fmla="*/ 544 w 1089"/>
                              <a:gd name="T1" fmla="*/ 0 h 714"/>
                              <a:gd name="T2" fmla="*/ 0 w 1089"/>
                              <a:gd name="T3" fmla="*/ 713 h 714"/>
                              <a:gd name="T4" fmla="*/ 1088 w 1089"/>
                              <a:gd name="T5" fmla="*/ 713 h 714"/>
                              <a:gd name="T6" fmla="*/ 544 w 1089"/>
                              <a:gd name="T7" fmla="*/ 0 h 714"/>
                            </a:gdLst>
                            <a:ahLst/>
                            <a:cxnLst>
                              <a:cxn ang="0">
                                <a:pos x="T0" y="T1"/>
                              </a:cxn>
                              <a:cxn ang="0">
                                <a:pos x="T2" y="T3"/>
                              </a:cxn>
                              <a:cxn ang="0">
                                <a:pos x="T4" y="T5"/>
                              </a:cxn>
                              <a:cxn ang="0">
                                <a:pos x="T6" y="T7"/>
                              </a:cxn>
                            </a:cxnLst>
                            <a:rect l="0" t="0" r="r" b="b"/>
                            <a:pathLst>
                              <a:path w="1089" h="714">
                                <a:moveTo>
                                  <a:pt x="544" y="0"/>
                                </a:moveTo>
                                <a:lnTo>
                                  <a:pt x="0" y="713"/>
                                </a:lnTo>
                                <a:lnTo>
                                  <a:pt x="1088" y="713"/>
                                </a:lnTo>
                                <a:lnTo>
                                  <a:pt x="544" y="0"/>
                                </a:lnTo>
                                <a:close/>
                              </a:path>
                            </a:pathLst>
                          </a:custGeom>
                          <a:noFill/>
                          <a:ln w="16764">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0"/>
                        <wps:cNvSpPr>
                          <a:spLocks/>
                        </wps:cNvSpPr>
                        <wps:spPr bwMode="auto">
                          <a:xfrm>
                            <a:off x="10036" y="4705"/>
                            <a:ext cx="714" cy="1089"/>
                          </a:xfrm>
                          <a:custGeom>
                            <a:avLst/>
                            <a:gdLst>
                              <a:gd name="T0" fmla="*/ 0 w 714"/>
                              <a:gd name="T1" fmla="*/ 0 h 1089"/>
                              <a:gd name="T2" fmla="*/ 0 w 714"/>
                              <a:gd name="T3" fmla="*/ 1088 h 1089"/>
                              <a:gd name="T4" fmla="*/ 713 w 714"/>
                              <a:gd name="T5" fmla="*/ 544 h 1089"/>
                              <a:gd name="T6" fmla="*/ 0 w 714"/>
                              <a:gd name="T7" fmla="*/ 0 h 1089"/>
                            </a:gdLst>
                            <a:ahLst/>
                            <a:cxnLst>
                              <a:cxn ang="0">
                                <a:pos x="T0" y="T1"/>
                              </a:cxn>
                              <a:cxn ang="0">
                                <a:pos x="T2" y="T3"/>
                              </a:cxn>
                              <a:cxn ang="0">
                                <a:pos x="T4" y="T5"/>
                              </a:cxn>
                              <a:cxn ang="0">
                                <a:pos x="T6" y="T7"/>
                              </a:cxn>
                            </a:cxnLst>
                            <a:rect l="0" t="0" r="r" b="b"/>
                            <a:pathLst>
                              <a:path w="714" h="1089">
                                <a:moveTo>
                                  <a:pt x="0" y="0"/>
                                </a:moveTo>
                                <a:lnTo>
                                  <a:pt x="0" y="1088"/>
                                </a:lnTo>
                                <a:lnTo>
                                  <a:pt x="713" y="544"/>
                                </a:lnTo>
                                <a:lnTo>
                                  <a:pt x="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1"/>
                        <wps:cNvSpPr>
                          <a:spLocks/>
                        </wps:cNvSpPr>
                        <wps:spPr bwMode="auto">
                          <a:xfrm>
                            <a:off x="10036" y="4705"/>
                            <a:ext cx="714" cy="1089"/>
                          </a:xfrm>
                          <a:custGeom>
                            <a:avLst/>
                            <a:gdLst>
                              <a:gd name="T0" fmla="*/ 713 w 714"/>
                              <a:gd name="T1" fmla="*/ 544 h 1089"/>
                              <a:gd name="T2" fmla="*/ 0 w 714"/>
                              <a:gd name="T3" fmla="*/ 0 h 1089"/>
                              <a:gd name="T4" fmla="*/ 0 w 714"/>
                              <a:gd name="T5" fmla="*/ 1088 h 1089"/>
                              <a:gd name="T6" fmla="*/ 713 w 714"/>
                              <a:gd name="T7" fmla="*/ 544 h 1089"/>
                            </a:gdLst>
                            <a:ahLst/>
                            <a:cxnLst>
                              <a:cxn ang="0">
                                <a:pos x="T0" y="T1"/>
                              </a:cxn>
                              <a:cxn ang="0">
                                <a:pos x="T2" y="T3"/>
                              </a:cxn>
                              <a:cxn ang="0">
                                <a:pos x="T4" y="T5"/>
                              </a:cxn>
                              <a:cxn ang="0">
                                <a:pos x="T6" y="T7"/>
                              </a:cxn>
                            </a:cxnLst>
                            <a:rect l="0" t="0" r="r" b="b"/>
                            <a:pathLst>
                              <a:path w="714" h="1089">
                                <a:moveTo>
                                  <a:pt x="713" y="544"/>
                                </a:moveTo>
                                <a:lnTo>
                                  <a:pt x="0" y="0"/>
                                </a:lnTo>
                                <a:lnTo>
                                  <a:pt x="0" y="1088"/>
                                </a:lnTo>
                                <a:lnTo>
                                  <a:pt x="713" y="544"/>
                                </a:lnTo>
                                <a:close/>
                              </a:path>
                            </a:pathLst>
                          </a:custGeom>
                          <a:noFill/>
                          <a:ln w="16764">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2"/>
                        <wps:cNvSpPr>
                          <a:spLocks/>
                        </wps:cNvSpPr>
                        <wps:spPr bwMode="auto">
                          <a:xfrm>
                            <a:off x="5408" y="9389"/>
                            <a:ext cx="1089" cy="714"/>
                          </a:xfrm>
                          <a:custGeom>
                            <a:avLst/>
                            <a:gdLst>
                              <a:gd name="T0" fmla="*/ 1088 w 1089"/>
                              <a:gd name="T1" fmla="*/ 0 h 714"/>
                              <a:gd name="T2" fmla="*/ 0 w 1089"/>
                              <a:gd name="T3" fmla="*/ 0 h 714"/>
                              <a:gd name="T4" fmla="*/ 544 w 1089"/>
                              <a:gd name="T5" fmla="*/ 713 h 714"/>
                              <a:gd name="T6" fmla="*/ 1088 w 1089"/>
                              <a:gd name="T7" fmla="*/ 0 h 714"/>
                            </a:gdLst>
                            <a:ahLst/>
                            <a:cxnLst>
                              <a:cxn ang="0">
                                <a:pos x="T0" y="T1"/>
                              </a:cxn>
                              <a:cxn ang="0">
                                <a:pos x="T2" y="T3"/>
                              </a:cxn>
                              <a:cxn ang="0">
                                <a:pos x="T4" y="T5"/>
                              </a:cxn>
                              <a:cxn ang="0">
                                <a:pos x="T6" y="T7"/>
                              </a:cxn>
                            </a:cxnLst>
                            <a:rect l="0" t="0" r="r" b="b"/>
                            <a:pathLst>
                              <a:path w="1089" h="714">
                                <a:moveTo>
                                  <a:pt x="1088" y="0"/>
                                </a:moveTo>
                                <a:lnTo>
                                  <a:pt x="0" y="0"/>
                                </a:lnTo>
                                <a:lnTo>
                                  <a:pt x="544" y="713"/>
                                </a:lnTo>
                                <a:lnTo>
                                  <a:pt x="1088"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3"/>
                        <wps:cNvSpPr>
                          <a:spLocks/>
                        </wps:cNvSpPr>
                        <wps:spPr bwMode="auto">
                          <a:xfrm>
                            <a:off x="5408" y="9389"/>
                            <a:ext cx="1089" cy="714"/>
                          </a:xfrm>
                          <a:custGeom>
                            <a:avLst/>
                            <a:gdLst>
                              <a:gd name="T0" fmla="*/ 544 w 1089"/>
                              <a:gd name="T1" fmla="*/ 713 h 714"/>
                              <a:gd name="T2" fmla="*/ 1088 w 1089"/>
                              <a:gd name="T3" fmla="*/ 0 h 714"/>
                              <a:gd name="T4" fmla="*/ 0 w 1089"/>
                              <a:gd name="T5" fmla="*/ 0 h 714"/>
                              <a:gd name="T6" fmla="*/ 544 w 1089"/>
                              <a:gd name="T7" fmla="*/ 713 h 714"/>
                            </a:gdLst>
                            <a:ahLst/>
                            <a:cxnLst>
                              <a:cxn ang="0">
                                <a:pos x="T0" y="T1"/>
                              </a:cxn>
                              <a:cxn ang="0">
                                <a:pos x="T2" y="T3"/>
                              </a:cxn>
                              <a:cxn ang="0">
                                <a:pos x="T4" y="T5"/>
                              </a:cxn>
                              <a:cxn ang="0">
                                <a:pos x="T6" y="T7"/>
                              </a:cxn>
                            </a:cxnLst>
                            <a:rect l="0" t="0" r="r" b="b"/>
                            <a:pathLst>
                              <a:path w="1089" h="714">
                                <a:moveTo>
                                  <a:pt x="544" y="713"/>
                                </a:moveTo>
                                <a:lnTo>
                                  <a:pt x="1088" y="0"/>
                                </a:lnTo>
                                <a:lnTo>
                                  <a:pt x="0" y="0"/>
                                </a:lnTo>
                                <a:lnTo>
                                  <a:pt x="544" y="713"/>
                                </a:lnTo>
                                <a:close/>
                              </a:path>
                            </a:pathLst>
                          </a:custGeom>
                          <a:noFill/>
                          <a:ln w="16764">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4"/>
                        <wps:cNvSpPr>
                          <a:spLocks/>
                        </wps:cNvSpPr>
                        <wps:spPr bwMode="auto">
                          <a:xfrm>
                            <a:off x="1155" y="4705"/>
                            <a:ext cx="714" cy="1089"/>
                          </a:xfrm>
                          <a:custGeom>
                            <a:avLst/>
                            <a:gdLst>
                              <a:gd name="T0" fmla="*/ 713 w 714"/>
                              <a:gd name="T1" fmla="*/ 0 h 1089"/>
                              <a:gd name="T2" fmla="*/ 0 w 714"/>
                              <a:gd name="T3" fmla="*/ 544 h 1089"/>
                              <a:gd name="T4" fmla="*/ 713 w 714"/>
                              <a:gd name="T5" fmla="*/ 1088 h 1089"/>
                              <a:gd name="T6" fmla="*/ 713 w 714"/>
                              <a:gd name="T7" fmla="*/ 0 h 1089"/>
                            </a:gdLst>
                            <a:ahLst/>
                            <a:cxnLst>
                              <a:cxn ang="0">
                                <a:pos x="T0" y="T1"/>
                              </a:cxn>
                              <a:cxn ang="0">
                                <a:pos x="T2" y="T3"/>
                              </a:cxn>
                              <a:cxn ang="0">
                                <a:pos x="T4" y="T5"/>
                              </a:cxn>
                              <a:cxn ang="0">
                                <a:pos x="T6" y="T7"/>
                              </a:cxn>
                            </a:cxnLst>
                            <a:rect l="0" t="0" r="r" b="b"/>
                            <a:pathLst>
                              <a:path w="714" h="1089">
                                <a:moveTo>
                                  <a:pt x="713" y="0"/>
                                </a:moveTo>
                                <a:lnTo>
                                  <a:pt x="0" y="544"/>
                                </a:lnTo>
                                <a:lnTo>
                                  <a:pt x="713" y="1088"/>
                                </a:lnTo>
                                <a:lnTo>
                                  <a:pt x="713"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5"/>
                        <wps:cNvSpPr>
                          <a:spLocks/>
                        </wps:cNvSpPr>
                        <wps:spPr bwMode="auto">
                          <a:xfrm>
                            <a:off x="1155" y="4705"/>
                            <a:ext cx="714" cy="1089"/>
                          </a:xfrm>
                          <a:custGeom>
                            <a:avLst/>
                            <a:gdLst>
                              <a:gd name="T0" fmla="*/ 0 w 714"/>
                              <a:gd name="T1" fmla="*/ 544 h 1089"/>
                              <a:gd name="T2" fmla="*/ 713 w 714"/>
                              <a:gd name="T3" fmla="*/ 1088 h 1089"/>
                              <a:gd name="T4" fmla="*/ 713 w 714"/>
                              <a:gd name="T5" fmla="*/ 0 h 1089"/>
                              <a:gd name="T6" fmla="*/ 0 w 714"/>
                              <a:gd name="T7" fmla="*/ 544 h 1089"/>
                            </a:gdLst>
                            <a:ahLst/>
                            <a:cxnLst>
                              <a:cxn ang="0">
                                <a:pos x="T0" y="T1"/>
                              </a:cxn>
                              <a:cxn ang="0">
                                <a:pos x="T2" y="T3"/>
                              </a:cxn>
                              <a:cxn ang="0">
                                <a:pos x="T4" y="T5"/>
                              </a:cxn>
                              <a:cxn ang="0">
                                <a:pos x="T6" y="T7"/>
                              </a:cxn>
                            </a:cxnLst>
                            <a:rect l="0" t="0" r="r" b="b"/>
                            <a:pathLst>
                              <a:path w="714" h="1089">
                                <a:moveTo>
                                  <a:pt x="0" y="544"/>
                                </a:moveTo>
                                <a:lnTo>
                                  <a:pt x="713" y="1088"/>
                                </a:lnTo>
                                <a:lnTo>
                                  <a:pt x="713" y="0"/>
                                </a:lnTo>
                                <a:lnTo>
                                  <a:pt x="0" y="544"/>
                                </a:lnTo>
                                <a:close/>
                              </a:path>
                            </a:pathLst>
                          </a:custGeom>
                          <a:noFill/>
                          <a:ln w="16764">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26"/>
                        <wps:cNvSpPr txBox="1">
                          <a:spLocks noChangeArrowheads="1"/>
                        </wps:cNvSpPr>
                        <wps:spPr bwMode="auto">
                          <a:xfrm>
                            <a:off x="1134" y="5933"/>
                            <a:ext cx="4024" cy="3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A7" w:rsidRPr="00BE5A15" w:rsidRDefault="00375EA7" w:rsidP="005A7712">
                              <w:pPr>
                                <w:pStyle w:val="BodyText"/>
                                <w:kinsoku w:val="0"/>
                                <w:overflowPunct w:val="0"/>
                                <w:spacing w:before="183" w:line="21" w:lineRule="atLeast"/>
                                <w:ind w:left="170" w:right="170"/>
                                <w:rPr>
                                  <w:b/>
                                  <w:bCs/>
                                  <w:color w:val="231F20"/>
                                  <w:sz w:val="28"/>
                                  <w:szCs w:val="28"/>
                                </w:rPr>
                              </w:pPr>
                              <w:r w:rsidRPr="00BE5A15">
                                <w:rPr>
                                  <w:b/>
                                  <w:bCs/>
                                  <w:color w:val="231F20"/>
                                  <w:sz w:val="28"/>
                                  <w:szCs w:val="28"/>
                                </w:rPr>
                                <w:t xml:space="preserve">Priority Programmes </w:t>
                              </w:r>
                            </w:p>
                            <w:p w:rsidR="00375EA7" w:rsidRPr="000A25BE" w:rsidRDefault="00375EA7" w:rsidP="005A7712">
                              <w:pPr>
                                <w:pStyle w:val="BodyText"/>
                                <w:kinsoku w:val="0"/>
                                <w:overflowPunct w:val="0"/>
                                <w:spacing w:before="183" w:line="21" w:lineRule="atLeast"/>
                                <w:ind w:left="170" w:right="170"/>
                                <w:rPr>
                                  <w:color w:val="231F20"/>
                                  <w:sz w:val="24"/>
                                  <w:szCs w:val="24"/>
                                </w:rPr>
                              </w:pPr>
                              <w:r>
                                <w:rPr>
                                  <w:color w:val="231F20"/>
                                  <w:sz w:val="24"/>
                                  <w:szCs w:val="24"/>
                                </w:rPr>
                                <w:t>P</w:t>
                              </w:r>
                              <w:r w:rsidRPr="000A25BE">
                                <w:rPr>
                                  <w:color w:val="231F20"/>
                                  <w:sz w:val="24"/>
                                  <w:szCs w:val="24"/>
                                </w:rPr>
                                <w:t>rogress against the priority programmes (</w:t>
                              </w:r>
                              <w:r>
                                <w:rPr>
                                  <w:color w:val="231F20"/>
                                  <w:sz w:val="24"/>
                                  <w:szCs w:val="24"/>
                                </w:rPr>
                                <w:t>Community</w:t>
                              </w:r>
                              <w:r w:rsidRPr="000A25BE">
                                <w:rPr>
                                  <w:color w:val="231F20"/>
                                  <w:sz w:val="24"/>
                                  <w:szCs w:val="24"/>
                                </w:rPr>
                                <w:t xml:space="preserve"> Risk Management Planning and People Strategy).</w:t>
                              </w:r>
                            </w:p>
                          </w:txbxContent>
                        </wps:txbx>
                        <wps:bodyPr rot="0" vert="horz" wrap="square" lIns="0" tIns="0" rIns="0" bIns="0" anchor="t" anchorCtr="0" upright="1">
                          <a:noAutofit/>
                        </wps:bodyPr>
                      </wps:wsp>
                      <wps:wsp>
                        <wps:cNvPr id="145" name="Text Box 27"/>
                        <wps:cNvSpPr txBox="1">
                          <a:spLocks noChangeArrowheads="1"/>
                        </wps:cNvSpPr>
                        <wps:spPr bwMode="auto">
                          <a:xfrm>
                            <a:off x="6748" y="5896"/>
                            <a:ext cx="4024" cy="3658"/>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A7" w:rsidRPr="00BE5A15" w:rsidRDefault="00375EA7" w:rsidP="005A7712">
                              <w:pPr>
                                <w:pStyle w:val="BodyText"/>
                                <w:kinsoku w:val="0"/>
                                <w:overflowPunct w:val="0"/>
                                <w:spacing w:before="183" w:line="14" w:lineRule="atLeast"/>
                                <w:ind w:left="170" w:right="170"/>
                                <w:rPr>
                                  <w:b/>
                                  <w:bCs/>
                                  <w:color w:val="231F20"/>
                                  <w:sz w:val="28"/>
                                  <w:szCs w:val="28"/>
                                </w:rPr>
                              </w:pPr>
                              <w:r w:rsidRPr="00BE5A15">
                                <w:rPr>
                                  <w:b/>
                                  <w:bCs/>
                                  <w:color w:val="231F20"/>
                                  <w:sz w:val="28"/>
                                  <w:szCs w:val="28"/>
                                </w:rPr>
                                <w:t>Risk</w:t>
                              </w:r>
                            </w:p>
                            <w:p w:rsidR="00375EA7" w:rsidRPr="000A25BE" w:rsidRDefault="00375EA7" w:rsidP="005A7712">
                              <w:pPr>
                                <w:pStyle w:val="BodyText"/>
                                <w:kinsoku w:val="0"/>
                                <w:overflowPunct w:val="0"/>
                                <w:spacing w:before="183" w:line="14" w:lineRule="atLeast"/>
                                <w:ind w:left="170" w:right="170"/>
                                <w:rPr>
                                  <w:color w:val="231F20"/>
                                  <w:sz w:val="24"/>
                                  <w:szCs w:val="24"/>
                                </w:rPr>
                              </w:pPr>
                              <w:r>
                                <w:rPr>
                                  <w:color w:val="231F20"/>
                                  <w:sz w:val="24"/>
                                  <w:szCs w:val="24"/>
                                </w:rPr>
                                <w:t>A</w:t>
                              </w:r>
                              <w:r w:rsidRPr="000A25BE">
                                <w:rPr>
                                  <w:color w:val="231F20"/>
                                  <w:sz w:val="24"/>
                                  <w:szCs w:val="24"/>
                                </w:rPr>
                                <w:t>n assessment of corporate risks that may impact on the delivery of our Service.</w:t>
                              </w:r>
                            </w:p>
                          </w:txbxContent>
                        </wps:txbx>
                        <wps:bodyPr rot="0" vert="horz" wrap="square" lIns="0" tIns="0" rIns="0" bIns="0" anchor="t" anchorCtr="0" upright="1">
                          <a:noAutofit/>
                        </wps:bodyPr>
                      </wps:wsp>
                      <wps:wsp>
                        <wps:cNvPr id="146" name="Text Box 28"/>
                        <wps:cNvSpPr txBox="1">
                          <a:spLocks noChangeArrowheads="1"/>
                        </wps:cNvSpPr>
                        <wps:spPr bwMode="auto">
                          <a:xfrm>
                            <a:off x="6748" y="375"/>
                            <a:ext cx="4024" cy="4192"/>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A7" w:rsidRPr="00BE5A15" w:rsidRDefault="00375EA7" w:rsidP="005A7712">
                              <w:pPr>
                                <w:pStyle w:val="BodyText"/>
                                <w:kinsoku w:val="0"/>
                                <w:overflowPunct w:val="0"/>
                                <w:spacing w:before="183" w:line="257" w:lineRule="auto"/>
                                <w:ind w:left="170" w:right="170"/>
                                <w:rPr>
                                  <w:b/>
                                  <w:bCs/>
                                  <w:color w:val="231F20"/>
                                  <w:sz w:val="28"/>
                                  <w:szCs w:val="28"/>
                                </w:rPr>
                              </w:pPr>
                              <w:r w:rsidRPr="00BE5A15">
                                <w:rPr>
                                  <w:b/>
                                  <w:bCs/>
                                  <w:color w:val="231F20"/>
                                  <w:sz w:val="28"/>
                                  <w:szCs w:val="28"/>
                                </w:rPr>
                                <w:t xml:space="preserve">Corporate Health </w:t>
                              </w:r>
                            </w:p>
                            <w:p w:rsidR="00375EA7" w:rsidRPr="000A25BE" w:rsidRDefault="00375EA7" w:rsidP="005A7712">
                              <w:pPr>
                                <w:pStyle w:val="BodyText"/>
                                <w:kinsoku w:val="0"/>
                                <w:overflowPunct w:val="0"/>
                                <w:spacing w:before="183" w:line="257" w:lineRule="auto"/>
                                <w:ind w:left="170" w:right="170"/>
                                <w:rPr>
                                  <w:color w:val="231F20"/>
                                  <w:sz w:val="24"/>
                                  <w:szCs w:val="24"/>
                                </w:rPr>
                              </w:pPr>
                              <w:r>
                                <w:rPr>
                                  <w:color w:val="231F20"/>
                                  <w:sz w:val="24"/>
                                  <w:szCs w:val="24"/>
                                </w:rPr>
                                <w:t>H</w:t>
                              </w:r>
                              <w:r w:rsidRPr="000A25BE">
                                <w:rPr>
                                  <w:color w:val="231F20"/>
                                  <w:sz w:val="24"/>
                                  <w:szCs w:val="24"/>
                                </w:rPr>
                                <w:t>ow key resources are managed and</w:t>
                              </w:r>
                              <w:r w:rsidRPr="000A25BE">
                                <w:rPr>
                                  <w:color w:val="231F20"/>
                                  <w:spacing w:val="-33"/>
                                  <w:sz w:val="24"/>
                                  <w:szCs w:val="24"/>
                                </w:rPr>
                                <w:t xml:space="preserve"> </w:t>
                              </w:r>
                              <w:r w:rsidRPr="000A25BE">
                                <w:rPr>
                                  <w:color w:val="231F20"/>
                                  <w:sz w:val="24"/>
                                  <w:szCs w:val="24"/>
                                </w:rPr>
                                <w:t>includes measures relating to staff, finance and health and safety.</w:t>
                              </w:r>
                            </w:p>
                          </w:txbxContent>
                        </wps:txbx>
                        <wps:bodyPr rot="0" vert="horz" wrap="square" lIns="0" tIns="0" rIns="0" bIns="0" anchor="t" anchorCtr="0" upright="1">
                          <a:noAutofit/>
                        </wps:bodyPr>
                      </wps:wsp>
                      <wps:wsp>
                        <wps:cNvPr id="147" name="Text Box 29"/>
                        <wps:cNvSpPr txBox="1">
                          <a:spLocks noChangeArrowheads="1"/>
                        </wps:cNvSpPr>
                        <wps:spPr bwMode="auto">
                          <a:xfrm>
                            <a:off x="1134" y="375"/>
                            <a:ext cx="4024" cy="4192"/>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EA7" w:rsidRPr="00BE5A15" w:rsidRDefault="00375EA7" w:rsidP="005A7712">
                              <w:pPr>
                                <w:pStyle w:val="BodyText"/>
                                <w:kinsoku w:val="0"/>
                                <w:overflowPunct w:val="0"/>
                                <w:spacing w:before="183" w:line="257" w:lineRule="auto"/>
                                <w:ind w:left="170" w:right="170"/>
                                <w:rPr>
                                  <w:b/>
                                  <w:bCs/>
                                  <w:color w:val="231F20"/>
                                  <w:sz w:val="28"/>
                                  <w:szCs w:val="28"/>
                                </w:rPr>
                              </w:pPr>
                              <w:r w:rsidRPr="00BE5A15">
                                <w:rPr>
                                  <w:b/>
                                  <w:bCs/>
                                  <w:color w:val="231F20"/>
                                  <w:sz w:val="28"/>
                                  <w:szCs w:val="28"/>
                                </w:rPr>
                                <w:t xml:space="preserve">Service Provision </w:t>
                              </w:r>
                            </w:p>
                            <w:p w:rsidR="00375EA7" w:rsidRPr="000A25BE" w:rsidRDefault="00375EA7" w:rsidP="005A7712">
                              <w:pPr>
                                <w:pStyle w:val="BodyText"/>
                                <w:kinsoku w:val="0"/>
                                <w:overflowPunct w:val="0"/>
                                <w:spacing w:before="183" w:line="257" w:lineRule="auto"/>
                                <w:ind w:left="170" w:right="170"/>
                                <w:rPr>
                                  <w:color w:val="231F20"/>
                                  <w:sz w:val="24"/>
                                  <w:szCs w:val="24"/>
                                </w:rPr>
                              </w:pPr>
                              <w:r>
                                <w:rPr>
                                  <w:color w:val="231F20"/>
                                  <w:sz w:val="24"/>
                                  <w:szCs w:val="24"/>
                                </w:rPr>
                                <w:t>T</w:t>
                              </w:r>
                              <w:r w:rsidRPr="000A25BE">
                                <w:rPr>
                                  <w:color w:val="231F20"/>
                                  <w:sz w:val="24"/>
                                  <w:szCs w:val="24"/>
                                </w:rPr>
                                <w:t>he delivery of our statutory obligations and the services provided by RBFRS.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768DF" id="Group 132" o:spid="_x0000_s1026" style="position:absolute;margin-left:0;margin-top:272.7pt;width:365.6pt;height:357pt;z-index:251660288;mso-wrap-distance-left:0;mso-wrap-distance-right:0;mso-position-horizontal:left;mso-position-horizontal-relative:margin;mso-position-vertical-relative:margin" coordorigin="1134,375" coordsize="9638,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" o:allowincell="f">
                <v:shape id="Freeform 15" o:spid="_x0000_s1027" style="position:absolute;left:5825;top:762;width:255;height:4361;visibility:visible;mso-wrap-style:square;v-text-anchor:top" coordsize="255,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" path="m,4360r254,l254,,,,,4360xe" fillcolor="#d2232a" stroked="f">
                  <v:path arrowok="t" o:connecttype="custom" o:connectlocs="0,4360;254,4360;254,0;0,0;0,4360" o:connectangles="0,0,0,0,0"/>
                </v:shape>
                <v:shape id="Freeform 16" o:spid="_x0000_s1028" style="position:absolute;left:5825;top:5377;width:255;height:4361;visibility:visible;mso-wrap-style:square;v-text-anchor:top" coordsize="255,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" path="m,4360r254,l254,,,,,4360xe" fillcolor="#d2232a" stroked="f">
                  <v:path arrowok="t" o:connecttype="custom" o:connectlocs="0,4360;254,4360;254,0;0,0;0,4360" o:connectangles="0,0,0,0,0"/>
                </v:shape>
                <v:shape id="Freeform 17" o:spid="_x0000_s1029" style="position:absolute;left:1307;top:5122;width:8976;height:255;visibility:visible;mso-wrap-style:square;v-text-anchor:top" coordsize="897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" path="m8975,l,,,254r8975,l8975,xe" fillcolor="#d2232a" stroked="f">
                  <v:path arrowok="t" o:connecttype="custom" o:connectlocs="8975,0;0,0;0,254;8975,254;8975,0" o:connectangles="0,0,0,0,0"/>
                </v:shape>
                <v:shape id="Freeform 18" o:spid="_x0000_s1030" style="position:absolute;left:5408;top:396;width:1089;height:714;visibility:visible;mso-wrap-style:square;v-text-anchor:top" coordsize="10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" path="m544,l,713r1088,l544,xe" fillcolor="#d2232a" stroked="f">
                  <v:path arrowok="t" o:connecttype="custom" o:connectlocs="544,0;0,713;1088,713;544,0" o:connectangles="0,0,0,0"/>
                </v:shape>
                <v:shape id="Freeform 19" o:spid="_x0000_s1031" style="position:absolute;left:5408;top:396;width:1089;height:714;visibility:visible;mso-wrap-style:square;v-text-anchor:top" coordsize="10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" path="m544,l,713r1088,l544,xe" filled="f" strokecolor="#d2232a" strokeweight="1.32pt">
                  <v:path arrowok="t" o:connecttype="custom" o:connectlocs="544,0;0,713;1088,713;544,0" o:connectangles="0,0,0,0"/>
                </v:shape>
                <v:shape id="Freeform 20" o:spid="_x0000_s1032" style="position:absolute;left:10036;top:4705;width:714;height:1089;visibility:visible;mso-wrap-style:square;v-text-anchor:top" coordsize="714,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" path="m,l,1088,713,544,,xe" fillcolor="#d2232a" stroked="f">
                  <v:path arrowok="t" o:connecttype="custom" o:connectlocs="0,0;0,1088;713,544;0,0" o:connectangles="0,0,0,0"/>
                </v:shape>
                <v:shape id="Freeform 21" o:spid="_x0000_s1033" style="position:absolute;left:10036;top:4705;width:714;height:1089;visibility:visible;mso-wrap-style:square;v-text-anchor:top" coordsize="714,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" path="m713,544l,,,1088,713,544xe" filled="f" strokecolor="#d2232a" strokeweight="1.32pt">
                  <v:path arrowok="t" o:connecttype="custom" o:connectlocs="713,544;0,0;0,1088;713,544" o:connectangles="0,0,0,0"/>
                </v:shape>
                <v:shape id="Freeform 22" o:spid="_x0000_s1034" style="position:absolute;left:5408;top:9389;width:1089;height:714;visibility:visible;mso-wrap-style:square;v-text-anchor:top" coordsize="10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" path="m1088,l,,544,713,1088,xe" fillcolor="#d2232a" stroked="f">
                  <v:path arrowok="t" o:connecttype="custom" o:connectlocs="1088,0;0,0;544,713;1088,0" o:connectangles="0,0,0,0"/>
                </v:shape>
                <v:shape id="Freeform 23" o:spid="_x0000_s1035" style="position:absolute;left:5408;top:9389;width:1089;height:714;visibility:visible;mso-wrap-style:square;v-text-anchor:top" coordsize="10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" path="m544,713l1088,,,,544,713xe" filled="f" strokecolor="#d2232a" strokeweight="1.32pt">
                  <v:path arrowok="t" o:connecttype="custom" o:connectlocs="544,713;1088,0;0,0;544,713" o:connectangles="0,0,0,0"/>
                </v:shape>
                <v:shape id="Freeform 24" o:spid="_x0000_s1036" style="position:absolute;left:1155;top:4705;width:714;height:1089;visibility:visible;mso-wrap-style:square;v-text-anchor:top" coordsize="714,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" path="m713,l,544r713,544l713,xe" fillcolor="#d2232a" stroked="f">
                  <v:path arrowok="t" o:connecttype="custom" o:connectlocs="713,0;0,544;713,1088;713,0" o:connectangles="0,0,0,0"/>
                </v:shape>
                <v:shape id="Freeform 25" o:spid="_x0000_s1037" style="position:absolute;left:1155;top:4705;width:714;height:1089;visibility:visible;mso-wrap-style:square;v-text-anchor:top" coordsize="714,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" path="m,544r713,544l713,,,544xe" filled="f" strokecolor="#d2232a" strokeweight="1.32pt">
                  <v:path arrowok="t" o:connecttype="custom" o:connectlocs="0,544;713,1088;713,0;0,544" o:connectangles="0,0,0,0"/>
                </v:shape>
                <v:shapetype id="_x0000_t202" coordsize="21600,21600" o:spt="202" path="m,l,21600r21600,l21600,xe">
                  <v:stroke joinstyle="miter"/>
                  <v:path gradientshapeok="t" o:connecttype="rect"/>
                </v:shapetype>
                <v:shape id="Text Box 26" o:spid="_x0000_s1038" type="#_x0000_t202" style="position:absolute;left:1134;top:5933;width:40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" fillcolor="#e0e0e0" stroked="f">
                  <v:textbox inset="0,0,0,0">
                    <w:txbxContent>
                      <w:p w:rsidR="00375EA7" w:rsidRPr="00BE5A15" w:rsidRDefault="00375EA7" w:rsidP="005A7712">
                        <w:pPr>
                          <w:pStyle w:val="BodyText"/>
                          <w:kinsoku w:val="0"/>
                          <w:overflowPunct w:val="0"/>
                          <w:spacing w:before="183" w:line="21" w:lineRule="atLeast"/>
                          <w:ind w:left="170" w:right="170"/>
                          <w:rPr>
                            <w:b/>
                            <w:bCs/>
                            <w:color w:val="231F20"/>
                            <w:sz w:val="28"/>
                            <w:szCs w:val="28"/>
                          </w:rPr>
                        </w:pPr>
                        <w:r w:rsidRPr="00BE5A15">
                          <w:rPr>
                            <w:b/>
                            <w:bCs/>
                            <w:color w:val="231F20"/>
                            <w:sz w:val="28"/>
                            <w:szCs w:val="28"/>
                          </w:rPr>
                          <w:t xml:space="preserve">Priority Programmes </w:t>
                        </w:r>
                      </w:p>
                      <w:p w:rsidR="00375EA7" w:rsidRPr="000A25BE" w:rsidRDefault="00375EA7" w:rsidP="005A7712">
                        <w:pPr>
                          <w:pStyle w:val="BodyText"/>
                          <w:kinsoku w:val="0"/>
                          <w:overflowPunct w:val="0"/>
                          <w:spacing w:before="183" w:line="21" w:lineRule="atLeast"/>
                          <w:ind w:left="170" w:right="170"/>
                          <w:rPr>
                            <w:color w:val="231F20"/>
                            <w:sz w:val="24"/>
                            <w:szCs w:val="24"/>
                          </w:rPr>
                        </w:pPr>
                        <w:r>
                          <w:rPr>
                            <w:color w:val="231F20"/>
                            <w:sz w:val="24"/>
                            <w:szCs w:val="24"/>
                          </w:rPr>
                          <w:t>P</w:t>
                        </w:r>
                        <w:r w:rsidRPr="000A25BE">
                          <w:rPr>
                            <w:color w:val="231F20"/>
                            <w:sz w:val="24"/>
                            <w:szCs w:val="24"/>
                          </w:rPr>
                          <w:t>rogress against the priority programmes (</w:t>
                        </w:r>
                        <w:r>
                          <w:rPr>
                            <w:color w:val="231F20"/>
                            <w:sz w:val="24"/>
                            <w:szCs w:val="24"/>
                          </w:rPr>
                          <w:t>Community</w:t>
                        </w:r>
                        <w:r w:rsidRPr="000A25BE">
                          <w:rPr>
                            <w:color w:val="231F20"/>
                            <w:sz w:val="24"/>
                            <w:szCs w:val="24"/>
                          </w:rPr>
                          <w:t xml:space="preserve"> Risk Management Planning and People Strategy).</w:t>
                        </w:r>
                      </w:p>
                    </w:txbxContent>
                  </v:textbox>
                </v:shape>
                <v:shape id="Text Box 27" o:spid="_x0000_s1039" type="#_x0000_t202" style="position:absolute;left:6748;top:5896;width:4024;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" fillcolor="#e0e0e0" stroked="f">
                  <v:textbox inset="0,0,0,0">
                    <w:txbxContent>
                      <w:p w:rsidR="00375EA7" w:rsidRPr="00BE5A15" w:rsidRDefault="00375EA7" w:rsidP="005A7712">
                        <w:pPr>
                          <w:pStyle w:val="BodyText"/>
                          <w:kinsoku w:val="0"/>
                          <w:overflowPunct w:val="0"/>
                          <w:spacing w:before="183" w:line="14" w:lineRule="atLeast"/>
                          <w:ind w:left="170" w:right="170"/>
                          <w:rPr>
                            <w:b/>
                            <w:bCs/>
                            <w:color w:val="231F20"/>
                            <w:sz w:val="28"/>
                            <w:szCs w:val="28"/>
                          </w:rPr>
                        </w:pPr>
                        <w:r w:rsidRPr="00BE5A15">
                          <w:rPr>
                            <w:b/>
                            <w:bCs/>
                            <w:color w:val="231F20"/>
                            <w:sz w:val="28"/>
                            <w:szCs w:val="28"/>
                          </w:rPr>
                          <w:t>Risk</w:t>
                        </w:r>
                      </w:p>
                      <w:p w:rsidR="00375EA7" w:rsidRPr="000A25BE" w:rsidRDefault="00375EA7" w:rsidP="005A7712">
                        <w:pPr>
                          <w:pStyle w:val="BodyText"/>
                          <w:kinsoku w:val="0"/>
                          <w:overflowPunct w:val="0"/>
                          <w:spacing w:before="183" w:line="14" w:lineRule="atLeast"/>
                          <w:ind w:left="170" w:right="170"/>
                          <w:rPr>
                            <w:color w:val="231F20"/>
                            <w:sz w:val="24"/>
                            <w:szCs w:val="24"/>
                          </w:rPr>
                        </w:pPr>
                        <w:r>
                          <w:rPr>
                            <w:color w:val="231F20"/>
                            <w:sz w:val="24"/>
                            <w:szCs w:val="24"/>
                          </w:rPr>
                          <w:t>A</w:t>
                        </w:r>
                        <w:r w:rsidRPr="000A25BE">
                          <w:rPr>
                            <w:color w:val="231F20"/>
                            <w:sz w:val="24"/>
                            <w:szCs w:val="24"/>
                          </w:rPr>
                          <w:t>n assessment of corporate risks that may impact on the delivery of our Service.</w:t>
                        </w:r>
                      </w:p>
                    </w:txbxContent>
                  </v:textbox>
                </v:shape>
                <v:shape id="Text Box 28" o:spid="_x0000_s1040" type="#_x0000_t202" style="position:absolute;left:6748;top:375;width:4024;height: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" fillcolor="#e0e0e0" stroked="f">
                  <v:textbox inset="0,0,0,0">
                    <w:txbxContent>
                      <w:p w:rsidR="00375EA7" w:rsidRPr="00BE5A15" w:rsidRDefault="00375EA7" w:rsidP="005A7712">
                        <w:pPr>
                          <w:pStyle w:val="BodyText"/>
                          <w:kinsoku w:val="0"/>
                          <w:overflowPunct w:val="0"/>
                          <w:spacing w:before="183" w:line="257" w:lineRule="auto"/>
                          <w:ind w:left="170" w:right="170"/>
                          <w:rPr>
                            <w:b/>
                            <w:bCs/>
                            <w:color w:val="231F20"/>
                            <w:sz w:val="28"/>
                            <w:szCs w:val="28"/>
                          </w:rPr>
                        </w:pPr>
                        <w:r w:rsidRPr="00BE5A15">
                          <w:rPr>
                            <w:b/>
                            <w:bCs/>
                            <w:color w:val="231F20"/>
                            <w:sz w:val="28"/>
                            <w:szCs w:val="28"/>
                          </w:rPr>
                          <w:t xml:space="preserve">Corporate Health </w:t>
                        </w:r>
                      </w:p>
                      <w:p w:rsidR="00375EA7" w:rsidRPr="000A25BE" w:rsidRDefault="00375EA7" w:rsidP="005A7712">
                        <w:pPr>
                          <w:pStyle w:val="BodyText"/>
                          <w:kinsoku w:val="0"/>
                          <w:overflowPunct w:val="0"/>
                          <w:spacing w:before="183" w:line="257" w:lineRule="auto"/>
                          <w:ind w:left="170" w:right="170"/>
                          <w:rPr>
                            <w:color w:val="231F20"/>
                            <w:sz w:val="24"/>
                            <w:szCs w:val="24"/>
                          </w:rPr>
                        </w:pPr>
                        <w:r>
                          <w:rPr>
                            <w:color w:val="231F20"/>
                            <w:sz w:val="24"/>
                            <w:szCs w:val="24"/>
                          </w:rPr>
                          <w:t>H</w:t>
                        </w:r>
                        <w:r w:rsidRPr="000A25BE">
                          <w:rPr>
                            <w:color w:val="231F20"/>
                            <w:sz w:val="24"/>
                            <w:szCs w:val="24"/>
                          </w:rPr>
                          <w:t>ow key resources are managed and</w:t>
                        </w:r>
                        <w:r w:rsidRPr="000A25BE">
                          <w:rPr>
                            <w:color w:val="231F20"/>
                            <w:spacing w:val="-33"/>
                            <w:sz w:val="24"/>
                            <w:szCs w:val="24"/>
                          </w:rPr>
                          <w:t xml:space="preserve"> </w:t>
                        </w:r>
                        <w:r w:rsidRPr="000A25BE">
                          <w:rPr>
                            <w:color w:val="231F20"/>
                            <w:sz w:val="24"/>
                            <w:szCs w:val="24"/>
                          </w:rPr>
                          <w:t>includes measures relating to staff, finance and health and safety.</w:t>
                        </w:r>
                      </w:p>
                    </w:txbxContent>
                  </v:textbox>
                </v:shape>
                <v:shape id="Text Box 29" o:spid="_x0000_s1041" type="#_x0000_t202" style="position:absolute;left:1134;top:375;width:4024;height: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" fillcolor="#e0e0e0" stroked="f">
                  <v:textbox inset="0,0,0,0">
                    <w:txbxContent>
                      <w:p w:rsidR="00375EA7" w:rsidRPr="00BE5A15" w:rsidRDefault="00375EA7" w:rsidP="005A7712">
                        <w:pPr>
                          <w:pStyle w:val="BodyText"/>
                          <w:kinsoku w:val="0"/>
                          <w:overflowPunct w:val="0"/>
                          <w:spacing w:before="183" w:line="257" w:lineRule="auto"/>
                          <w:ind w:left="170" w:right="170"/>
                          <w:rPr>
                            <w:b/>
                            <w:bCs/>
                            <w:color w:val="231F20"/>
                            <w:sz w:val="28"/>
                            <w:szCs w:val="28"/>
                          </w:rPr>
                        </w:pPr>
                        <w:r w:rsidRPr="00BE5A15">
                          <w:rPr>
                            <w:b/>
                            <w:bCs/>
                            <w:color w:val="231F20"/>
                            <w:sz w:val="28"/>
                            <w:szCs w:val="28"/>
                          </w:rPr>
                          <w:t xml:space="preserve">Service Provision </w:t>
                        </w:r>
                      </w:p>
                      <w:p w:rsidR="00375EA7" w:rsidRPr="000A25BE" w:rsidRDefault="00375EA7" w:rsidP="005A7712">
                        <w:pPr>
                          <w:pStyle w:val="BodyText"/>
                          <w:kinsoku w:val="0"/>
                          <w:overflowPunct w:val="0"/>
                          <w:spacing w:before="183" w:line="257" w:lineRule="auto"/>
                          <w:ind w:left="170" w:right="170"/>
                          <w:rPr>
                            <w:color w:val="231F20"/>
                            <w:sz w:val="24"/>
                            <w:szCs w:val="24"/>
                          </w:rPr>
                        </w:pPr>
                        <w:r>
                          <w:rPr>
                            <w:color w:val="231F20"/>
                            <w:sz w:val="24"/>
                            <w:szCs w:val="24"/>
                          </w:rPr>
                          <w:t>T</w:t>
                        </w:r>
                        <w:r w:rsidRPr="000A25BE">
                          <w:rPr>
                            <w:color w:val="231F20"/>
                            <w:sz w:val="24"/>
                            <w:szCs w:val="24"/>
                          </w:rPr>
                          <w:t>he delivery of our statutory obligations and the services provided by RBFRS.</w:t>
                        </w:r>
                      </w:p>
                    </w:txbxContent>
                  </v:textbox>
                </v:shape>
                <w10:wrap type="square" anchorx="margin" anchory="margin"/>
              </v:group>
            </w:pict>
          </mc:Fallback>
        </mc:AlternateContent>
      </w:r>
    </w:p>
    <w:p w:rsidR="005A7712" w:rsidRPr="00076402" w:rsidRDefault="005A7712" w:rsidP="005A7712">
      <w:pPr>
        <w:rPr>
          <w:sz w:val="29"/>
          <w:szCs w:val="29"/>
          <w:highlight w:val="yellow"/>
        </w:rPr>
      </w:pPr>
    </w:p>
    <w:p w:rsidR="005A7712" w:rsidRPr="00076402" w:rsidRDefault="005A7712" w:rsidP="005A7712">
      <w:pPr>
        <w:pStyle w:val="Head1RBFRS"/>
        <w:rPr>
          <w:b/>
          <w:bCs/>
          <w:highlight w:val="yellow"/>
        </w:rPr>
      </w:pPr>
    </w:p>
    <w:p w:rsidR="005A7712" w:rsidRPr="00076402" w:rsidRDefault="005A7712" w:rsidP="005A7712">
      <w:pPr>
        <w:rPr>
          <w:b/>
          <w:bCs/>
          <w:color w:val="FF0000"/>
          <w:sz w:val="32"/>
          <w:szCs w:val="32"/>
          <w:highlight w:val="yellow"/>
        </w:rPr>
      </w:pPr>
      <w:r w:rsidRPr="00076402">
        <w:rPr>
          <w:b/>
          <w:bCs/>
          <w:highlight w:val="yellow"/>
        </w:rPr>
        <w:br w:type="page"/>
      </w:r>
    </w:p>
    <w:p w:rsidR="00E24605" w:rsidRPr="00E24605" w:rsidRDefault="00E24605" w:rsidP="00E24605">
      <w:pPr>
        <w:pStyle w:val="Heading1"/>
        <w:rPr>
          <w:noProof w:val="0"/>
        </w:rPr>
      </w:pPr>
      <w:bookmarkStart w:id="8" w:name="_Toc103861440"/>
      <w:r w:rsidRPr="00E24605">
        <w:rPr>
          <w:noProof w:val="0"/>
        </w:rPr>
        <w:lastRenderedPageBreak/>
        <w:t>CORPORATE MEASURES</w:t>
      </w:r>
      <w:bookmarkEnd w:id="8"/>
    </w:p>
    <w:p w:rsidR="00E24605" w:rsidRPr="00E24605" w:rsidRDefault="00E24605" w:rsidP="00E24605">
      <w:pPr>
        <w:pStyle w:val="Heading3"/>
        <w:rPr>
          <w:noProof w:val="0"/>
        </w:rPr>
      </w:pPr>
      <w:bookmarkStart w:id="9" w:name="_Toc103861441"/>
      <w:r w:rsidRPr="00E24605">
        <w:rPr>
          <w:noProof w:val="0"/>
        </w:rPr>
        <w:t>Service Provision</w:t>
      </w:r>
      <w:bookmarkEnd w:id="9"/>
    </w:p>
    <w:p w:rsidR="00E24605" w:rsidRPr="00E24605" w:rsidRDefault="00E24605" w:rsidP="00E24605">
      <w:pPr>
        <w:pStyle w:val="NoSpacing"/>
        <w:spacing w:line="276" w:lineRule="auto"/>
        <w:rPr>
          <w:rFonts w:asciiTheme="minorHAnsi" w:eastAsiaTheme="minorHAnsi" w:hAnsiTheme="minorHAnsi" w:cstheme="minorBidi"/>
          <w:sz w:val="24"/>
          <w:szCs w:val="24"/>
          <w:lang w:eastAsia="en-US"/>
        </w:rPr>
      </w:pPr>
      <w:r w:rsidRPr="00E24605">
        <w:rPr>
          <w:rFonts w:asciiTheme="minorHAnsi" w:eastAsiaTheme="minorHAnsi" w:hAnsiTheme="minorHAnsi" w:cstheme="minorBidi"/>
          <w:sz w:val="24"/>
          <w:szCs w:val="24"/>
          <w:lang w:eastAsia="en-US"/>
        </w:rPr>
        <w:t xml:space="preserve">Service Provision monitors the service we provide to the public. Performance is monitored in relation to attendance at incidents, types of incidents, Prevention activities and fire safety in commercial buildings. </w:t>
      </w:r>
      <w:bookmarkStart w:id="10" w:name="_GoBack"/>
      <w:bookmarkEnd w:id="10"/>
    </w:p>
    <w:p w:rsidR="00407D23" w:rsidRDefault="00407D23"/>
    <w:tbl>
      <w:tblPr>
        <w:tblW w:w="10470" w:type="dxa"/>
        <w:tblInd w:w="10" w:type="dxa"/>
        <w:tblLayout w:type="fixed"/>
        <w:tblCellMar>
          <w:top w:w="57" w:type="dxa"/>
          <w:left w:w="28" w:type="dxa"/>
          <w:bottom w:w="57" w:type="dxa"/>
          <w:right w:w="57" w:type="dxa"/>
        </w:tblCellMar>
        <w:tblLook w:val="0000" w:firstRow="0" w:lastRow="0" w:firstColumn="0" w:lastColumn="0" w:noHBand="0" w:noVBand="0"/>
      </w:tblPr>
      <w:tblGrid>
        <w:gridCol w:w="481"/>
        <w:gridCol w:w="7012"/>
        <w:gridCol w:w="36"/>
        <w:gridCol w:w="1452"/>
        <w:gridCol w:w="18"/>
        <w:gridCol w:w="1471"/>
      </w:tblGrid>
      <w:tr w:rsidR="003D0D96" w:rsidRPr="003D0D96" w:rsidTr="003D0D96">
        <w:tc>
          <w:tcPr>
            <w:tcW w:w="481" w:type="dxa"/>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3D0D96" w:rsidRPr="003D0D96" w:rsidRDefault="003D0D96" w:rsidP="003D0D96">
            <w:pPr>
              <w:spacing w:before="120" w:after="120" w:line="280" w:lineRule="atLeast"/>
              <w:rPr>
                <w:color w:val="000000" w:themeColor="text1"/>
              </w:rPr>
            </w:pPr>
          </w:p>
        </w:tc>
        <w:tc>
          <w:tcPr>
            <w:tcW w:w="7048" w:type="dxa"/>
            <w:gridSpan w:val="2"/>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3D0D96" w:rsidRPr="003D0D96" w:rsidRDefault="003D0D96" w:rsidP="003D0D96">
            <w:pPr>
              <w:spacing w:before="120" w:after="120" w:line="280" w:lineRule="atLeast"/>
              <w:rPr>
                <w:color w:val="000000" w:themeColor="text1"/>
              </w:rPr>
            </w:pPr>
            <w:r w:rsidRPr="003D0D96">
              <w:rPr>
                <w:b/>
                <w:color w:val="000000" w:themeColor="text1"/>
              </w:rPr>
              <w:t>Measure</w:t>
            </w:r>
          </w:p>
        </w:tc>
        <w:tc>
          <w:tcPr>
            <w:tcW w:w="1470" w:type="dxa"/>
            <w:gridSpan w:val="2"/>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3D0D96" w:rsidRPr="003D0D96" w:rsidRDefault="00E9063F" w:rsidP="003D0D96">
            <w:pPr>
              <w:spacing w:before="120" w:after="120" w:line="280" w:lineRule="atLeast"/>
              <w:rPr>
                <w:color w:val="000000" w:themeColor="text1"/>
              </w:rPr>
            </w:pPr>
            <w:r>
              <w:rPr>
                <w:b/>
                <w:color w:val="000000" w:themeColor="text1"/>
              </w:rPr>
              <w:t>2021/22</w:t>
            </w:r>
          </w:p>
          <w:p w:rsidR="003D0D96" w:rsidRPr="003D0D96" w:rsidRDefault="003D0D96" w:rsidP="003D0D96">
            <w:pPr>
              <w:spacing w:before="120" w:after="120" w:line="280" w:lineRule="atLeast"/>
              <w:rPr>
                <w:color w:val="000000" w:themeColor="text1"/>
              </w:rPr>
            </w:pPr>
            <w:r w:rsidRPr="003D0D96">
              <w:rPr>
                <w:b/>
                <w:color w:val="000000" w:themeColor="text1"/>
              </w:rPr>
              <w:t>Target</w:t>
            </w:r>
          </w:p>
        </w:tc>
        <w:tc>
          <w:tcPr>
            <w:tcW w:w="1471" w:type="dxa"/>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3D0D96" w:rsidRPr="003D0D96" w:rsidRDefault="00E9063F" w:rsidP="003D0D96">
            <w:pPr>
              <w:spacing w:before="120" w:after="120" w:line="280" w:lineRule="atLeast"/>
              <w:rPr>
                <w:color w:val="000000" w:themeColor="text1"/>
              </w:rPr>
            </w:pPr>
            <w:r>
              <w:rPr>
                <w:b/>
                <w:color w:val="000000" w:themeColor="text1"/>
              </w:rPr>
              <w:t>2022/23</w:t>
            </w:r>
          </w:p>
          <w:p w:rsidR="003D0D96" w:rsidRPr="003D0D96" w:rsidRDefault="003D0D96" w:rsidP="003D0D96">
            <w:pPr>
              <w:spacing w:before="120" w:after="120" w:line="280" w:lineRule="atLeast"/>
              <w:rPr>
                <w:color w:val="000000" w:themeColor="text1"/>
              </w:rPr>
            </w:pPr>
            <w:r w:rsidRPr="003D0D96">
              <w:rPr>
                <w:b/>
                <w:color w:val="000000" w:themeColor="text1"/>
              </w:rPr>
              <w:t xml:space="preserve"> Target</w:t>
            </w:r>
          </w:p>
        </w:tc>
      </w:tr>
      <w:tr w:rsidR="003D0D96" w:rsidRPr="00D1641E" w:rsidTr="003D0D96">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1</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Number of fire deaths</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 xml:space="preserve"> new</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0</w:t>
            </w:r>
          </w:p>
        </w:tc>
      </w:tr>
      <w:tr w:rsidR="003D0D96" w:rsidRPr="003D0D96" w:rsidTr="003D0D96">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2</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Number of non-fatal fire casualties</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 xml:space="preserve"> new</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75 max</w:t>
            </w:r>
          </w:p>
        </w:tc>
      </w:tr>
      <w:tr w:rsidR="003D0D96" w:rsidRPr="003D0D96" w:rsidTr="003D0D96">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3</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Number of deliberate primary fires</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0"/>
              <w:rPr>
                <w:sz w:val="24"/>
                <w:szCs w:val="24"/>
              </w:rPr>
            </w:pPr>
            <w:r w:rsidRPr="00375EA7">
              <w:rPr>
                <w:sz w:val="24"/>
                <w:szCs w:val="24"/>
              </w:rPr>
              <w:t xml:space="preserve"> Reduce</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Reduce</w:t>
            </w:r>
          </w:p>
        </w:tc>
      </w:tr>
      <w:tr w:rsidR="003D0D96" w:rsidRPr="003D0D96" w:rsidTr="003D0D96">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4</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Number of deliberate secondary fires</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Reduce</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Reduce</w:t>
            </w:r>
          </w:p>
        </w:tc>
      </w:tr>
      <w:tr w:rsidR="003D0D96" w:rsidRPr="003D0D96" w:rsidTr="003D0D96">
        <w:trPr>
          <w:trHeight w:val="397"/>
        </w:trPr>
        <w:tc>
          <w:tcPr>
            <w:tcW w:w="10470" w:type="dxa"/>
            <w:gridSpan w:val="6"/>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Prevention</w:t>
            </w:r>
          </w:p>
        </w:tc>
      </w:tr>
      <w:tr w:rsidR="003D0D96" w:rsidRPr="003D0D96" w:rsidTr="003D0D96">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5</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79" w:right="170"/>
              <w:rPr>
                <w:sz w:val="24"/>
                <w:szCs w:val="24"/>
              </w:rPr>
            </w:pPr>
            <w:r w:rsidRPr="00375EA7">
              <w:rPr>
                <w:sz w:val="24"/>
                <w:szCs w:val="24"/>
              </w:rPr>
              <w:t xml:space="preserve">Increase the number of Referrals for Safe and Well visits received from our partners </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new</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10%</w:t>
            </w:r>
          </w:p>
        </w:tc>
      </w:tr>
      <w:tr w:rsidR="003D0D96" w:rsidRPr="003D0D96" w:rsidTr="003D0D96">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6</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right="170"/>
              <w:rPr>
                <w:sz w:val="24"/>
                <w:szCs w:val="24"/>
              </w:rPr>
            </w:pPr>
            <w:r w:rsidRPr="00375EA7">
              <w:rPr>
                <w:sz w:val="24"/>
                <w:szCs w:val="24"/>
              </w:rPr>
              <w:t xml:space="preserve">Percentage of Safe and Well referrals, where there has been a threat or incidence of arson, completed within 48 hours. </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100%</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100%</w:t>
            </w:r>
          </w:p>
        </w:tc>
      </w:tr>
      <w:tr w:rsidR="003D0D96" w:rsidRPr="003D0D96" w:rsidTr="003D0D96">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7</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 xml:space="preserve">Percentage of Very High and High Risk Safe and Well Referrals completed within target time </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new</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90%</w:t>
            </w:r>
          </w:p>
        </w:tc>
      </w:tr>
      <w:tr w:rsidR="003D0D96" w:rsidRPr="003D0D96" w:rsidTr="003D0D96">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8</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Percentage of Medium Risk Safe and Well Referrals completed within target time</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new</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75%</w:t>
            </w:r>
          </w:p>
        </w:tc>
      </w:tr>
      <w:tr w:rsidR="003D0D96" w:rsidRPr="003D0D96" w:rsidTr="003D0D96">
        <w:trPr>
          <w:trHeight w:val="397"/>
        </w:trPr>
        <w:tc>
          <w:tcPr>
            <w:tcW w:w="10470" w:type="dxa"/>
            <w:gridSpan w:val="6"/>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Protection</w:t>
            </w:r>
          </w:p>
        </w:tc>
      </w:tr>
      <w:tr w:rsidR="003D0D96" w:rsidRPr="003D0D96" w:rsidTr="003D0D96">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9</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Proportion of Fire Safety Audits conducted against premises identified as High or Very High Risk in our Risk Based Inspection Programme</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new</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monitor</w:t>
            </w:r>
          </w:p>
        </w:tc>
      </w:tr>
      <w:tr w:rsidR="003D0D96" w:rsidRPr="003D0D96" w:rsidTr="003D0D96">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lastRenderedPageBreak/>
              <w:t>10</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Percentage of Fire Safety Audits with a ‘Broadly Compliant’ result.</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60% max</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60% max</w:t>
            </w:r>
          </w:p>
        </w:tc>
      </w:tr>
      <w:tr w:rsidR="003D0D96" w:rsidRPr="003D0D96" w:rsidTr="003D0D96">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11</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Percentage success when cases go to court.</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80%</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80%</w:t>
            </w:r>
          </w:p>
        </w:tc>
      </w:tr>
      <w:tr w:rsidR="003D0D96" w:rsidRPr="003D0D96" w:rsidTr="003D0D96">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12</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Percentage of statutory fire consultations completed within the required timeframes.</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95%</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95%</w:t>
            </w:r>
          </w:p>
        </w:tc>
      </w:tr>
      <w:tr w:rsidR="003D0D96" w:rsidRPr="003D0D96" w:rsidTr="003D0D96">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13</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The number of Automatic Fire Alarm calls received.</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Monitor</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Improve</w:t>
            </w:r>
          </w:p>
        </w:tc>
      </w:tr>
      <w:tr w:rsidR="003D0D96" w:rsidRPr="003D0D96" w:rsidTr="003D0D96">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14</w:t>
            </w:r>
          </w:p>
        </w:tc>
        <w:tc>
          <w:tcPr>
            <w:tcW w:w="7048" w:type="dxa"/>
            <w:gridSpan w:val="2"/>
            <w:tcBorders>
              <w:top w:val="single" w:sz="8" w:space="0" w:color="231F20"/>
              <w:left w:val="single" w:sz="8" w:space="0" w:color="231F20"/>
              <w:bottom w:val="single" w:sz="8" w:space="0" w:color="231F2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 xml:space="preserve">Percentage of Automatic Fire Alarm calls where RBFRS did not attend  </w:t>
            </w:r>
          </w:p>
        </w:tc>
        <w:tc>
          <w:tcPr>
            <w:tcW w:w="1470"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Improve</w:t>
            </w:r>
          </w:p>
        </w:tc>
        <w:tc>
          <w:tcPr>
            <w:tcW w:w="147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30%</w:t>
            </w:r>
            <w:r w:rsidR="006C5D62">
              <w:rPr>
                <w:sz w:val="24"/>
                <w:szCs w:val="24"/>
              </w:rPr>
              <w:t xml:space="preserve"> (min)</w:t>
            </w:r>
          </w:p>
        </w:tc>
      </w:tr>
      <w:tr w:rsidR="003D0D96" w:rsidRPr="003D0D96" w:rsidTr="003D0D96">
        <w:trPr>
          <w:trHeight w:val="454"/>
        </w:trPr>
        <w:tc>
          <w:tcPr>
            <w:tcW w:w="10470" w:type="dxa"/>
            <w:gridSpan w:val="6"/>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Response</w:t>
            </w:r>
          </w:p>
        </w:tc>
      </w:tr>
      <w:tr w:rsidR="003D0D96" w:rsidRPr="003D0D96" w:rsidTr="003D0D96">
        <w:trPr>
          <w:trHeight w:val="680"/>
        </w:trPr>
        <w:tc>
          <w:tcPr>
            <w:tcW w:w="481" w:type="dxa"/>
            <w:tcBorders>
              <w:top w:val="single" w:sz="8" w:space="0" w:color="231F20"/>
              <w:left w:val="single" w:sz="8" w:space="0" w:color="231F20"/>
              <w:bottom w:val="single" w:sz="8" w:space="0" w:color="00000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15</w:t>
            </w:r>
          </w:p>
        </w:tc>
        <w:tc>
          <w:tcPr>
            <w:tcW w:w="7012" w:type="dxa"/>
            <w:tcBorders>
              <w:top w:val="single" w:sz="8" w:space="0" w:color="231F2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ind w:right="825"/>
              <w:rPr>
                <w:sz w:val="24"/>
                <w:szCs w:val="24"/>
              </w:rPr>
            </w:pPr>
            <w:r w:rsidRPr="00375EA7">
              <w:rPr>
                <w:sz w:val="24"/>
                <w:szCs w:val="24"/>
              </w:rPr>
              <w:t>Percentage of occasions where the first fire engine arrives at an emergency incident within 10 minutes from time the emergency call was answered</w:t>
            </w:r>
          </w:p>
        </w:tc>
        <w:tc>
          <w:tcPr>
            <w:tcW w:w="1488" w:type="dxa"/>
            <w:gridSpan w:val="2"/>
            <w:tcBorders>
              <w:top w:val="single" w:sz="8" w:space="0" w:color="231F2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75%</w:t>
            </w:r>
          </w:p>
        </w:tc>
        <w:tc>
          <w:tcPr>
            <w:tcW w:w="1489" w:type="dxa"/>
            <w:gridSpan w:val="2"/>
            <w:tcBorders>
              <w:top w:val="single" w:sz="8" w:space="0" w:color="231F2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75%</w:t>
            </w:r>
          </w:p>
        </w:tc>
      </w:tr>
      <w:tr w:rsidR="003D0D96" w:rsidRPr="003D0D96" w:rsidTr="003D0D96">
        <w:trPr>
          <w:trHeight w:val="680"/>
        </w:trPr>
        <w:tc>
          <w:tcPr>
            <w:tcW w:w="481" w:type="dxa"/>
            <w:tcBorders>
              <w:top w:val="single" w:sz="8" w:space="0" w:color="231F2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16</w:t>
            </w:r>
          </w:p>
        </w:tc>
        <w:tc>
          <w:tcPr>
            <w:tcW w:w="7012" w:type="dxa"/>
            <w:tcBorders>
              <w:top w:val="single" w:sz="8" w:space="0" w:color="231F2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 xml:space="preserve">Percentage of </w:t>
            </w:r>
            <w:proofErr w:type="spellStart"/>
            <w:r w:rsidRPr="00375EA7">
              <w:rPr>
                <w:sz w:val="24"/>
                <w:szCs w:val="24"/>
              </w:rPr>
              <w:t>wholetime</w:t>
            </w:r>
            <w:proofErr w:type="spellEnd"/>
            <w:r w:rsidRPr="00375EA7">
              <w:rPr>
                <w:sz w:val="24"/>
                <w:szCs w:val="24"/>
              </w:rPr>
              <w:t xml:space="preserve"> frontline pumping appliance availability</w:t>
            </w:r>
          </w:p>
        </w:tc>
        <w:tc>
          <w:tcPr>
            <w:tcW w:w="1488" w:type="dxa"/>
            <w:gridSpan w:val="2"/>
            <w:tcBorders>
              <w:top w:val="single" w:sz="8" w:space="0" w:color="231F2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new</w:t>
            </w:r>
          </w:p>
        </w:tc>
        <w:tc>
          <w:tcPr>
            <w:tcW w:w="1489" w:type="dxa"/>
            <w:gridSpan w:val="2"/>
            <w:tcBorders>
              <w:top w:val="single" w:sz="8" w:space="0" w:color="231F2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99%</w:t>
            </w:r>
          </w:p>
        </w:tc>
      </w:tr>
      <w:tr w:rsidR="003D0D96" w:rsidRPr="003D0D96" w:rsidTr="003D0D96">
        <w:trPr>
          <w:trHeight w:val="680"/>
        </w:trPr>
        <w:tc>
          <w:tcPr>
            <w:tcW w:w="481" w:type="dxa"/>
            <w:tcBorders>
              <w:top w:val="single" w:sz="8" w:space="0" w:color="000000"/>
              <w:left w:val="single" w:sz="8" w:space="0" w:color="000000"/>
              <w:bottom w:val="single" w:sz="8" w:space="0" w:color="00000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17</w:t>
            </w:r>
          </w:p>
        </w:tc>
        <w:tc>
          <w:tcPr>
            <w:tcW w:w="7012" w:type="dxa"/>
            <w:tcBorders>
              <w:top w:val="single" w:sz="8" w:space="0" w:color="00000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Percentage of hours where there is adequate crewing on on-call frontline pumping appliances (based on 24/7 crewing)</w:t>
            </w:r>
          </w:p>
        </w:tc>
        <w:tc>
          <w:tcPr>
            <w:tcW w:w="1488" w:type="dxa"/>
            <w:gridSpan w:val="2"/>
            <w:tcBorders>
              <w:top w:val="single" w:sz="8" w:space="0" w:color="00000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60%</w:t>
            </w:r>
          </w:p>
        </w:tc>
        <w:tc>
          <w:tcPr>
            <w:tcW w:w="1489" w:type="dxa"/>
            <w:gridSpan w:val="2"/>
            <w:tcBorders>
              <w:top w:val="single" w:sz="8" w:space="0" w:color="000000"/>
              <w:left w:val="single" w:sz="8" w:space="0" w:color="231F20"/>
              <w:bottom w:val="single" w:sz="8" w:space="0" w:color="000000"/>
              <w:right w:val="single" w:sz="8" w:space="0" w:color="00000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60%</w:t>
            </w:r>
          </w:p>
        </w:tc>
      </w:tr>
      <w:tr w:rsidR="003D0D96" w:rsidRPr="003D0D96" w:rsidTr="003D0D96">
        <w:trPr>
          <w:trHeight w:val="454"/>
        </w:trPr>
        <w:tc>
          <w:tcPr>
            <w:tcW w:w="10470" w:type="dxa"/>
            <w:gridSpan w:val="6"/>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Resilience</w:t>
            </w:r>
          </w:p>
        </w:tc>
      </w:tr>
      <w:tr w:rsidR="003D0D96" w:rsidRPr="003D0D96" w:rsidTr="003D0D96">
        <w:trPr>
          <w:trHeight w:val="680"/>
        </w:trPr>
        <w:tc>
          <w:tcPr>
            <w:tcW w:w="481" w:type="dxa"/>
            <w:tcBorders>
              <w:top w:val="single" w:sz="8" w:space="0" w:color="000000"/>
              <w:left w:val="single" w:sz="8" w:space="0" w:color="00000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18</w:t>
            </w:r>
          </w:p>
        </w:tc>
        <w:tc>
          <w:tcPr>
            <w:tcW w:w="7012" w:type="dxa"/>
            <w:tcBorders>
              <w:top w:val="single" w:sz="8" w:space="0" w:color="000000"/>
              <w:left w:val="single" w:sz="8" w:space="0" w:color="231F20"/>
              <w:bottom w:val="single" w:sz="8" w:space="0" w:color="000000"/>
              <w:right w:val="single" w:sz="8" w:space="0" w:color="231F20"/>
            </w:tcBorders>
            <w:vAlign w:val="center"/>
          </w:tcPr>
          <w:p w:rsidR="003D0D96" w:rsidRPr="00375EA7" w:rsidRDefault="003D0D96" w:rsidP="00375EA7">
            <w:pPr>
              <w:pStyle w:val="TableParagraph"/>
              <w:kinsoku w:val="0"/>
              <w:overflowPunct w:val="0"/>
              <w:spacing w:before="120" w:after="120"/>
              <w:ind w:left="179"/>
              <w:rPr>
                <w:sz w:val="24"/>
                <w:szCs w:val="24"/>
              </w:rPr>
            </w:pPr>
            <w:r w:rsidRPr="00375EA7">
              <w:rPr>
                <w:sz w:val="24"/>
                <w:szCs w:val="24"/>
              </w:rPr>
              <w:t xml:space="preserve"> Percentage of visits to</w:t>
            </w:r>
            <w:r w:rsidR="00375EA7" w:rsidRPr="00375EA7">
              <w:rPr>
                <w:sz w:val="24"/>
                <w:szCs w:val="24"/>
              </w:rPr>
              <w:t xml:space="preserve"> Very High, High and Medium Operational Risk</w:t>
            </w:r>
            <w:r w:rsidRPr="00375EA7">
              <w:rPr>
                <w:sz w:val="24"/>
                <w:szCs w:val="24"/>
              </w:rPr>
              <w:t xml:space="preserve"> sites completed in timescale</w:t>
            </w:r>
          </w:p>
        </w:tc>
        <w:tc>
          <w:tcPr>
            <w:tcW w:w="1488" w:type="dxa"/>
            <w:gridSpan w:val="2"/>
            <w:tcBorders>
              <w:top w:val="single" w:sz="8" w:space="0" w:color="00000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new</w:t>
            </w:r>
          </w:p>
        </w:tc>
        <w:tc>
          <w:tcPr>
            <w:tcW w:w="1489" w:type="dxa"/>
            <w:gridSpan w:val="2"/>
            <w:tcBorders>
              <w:top w:val="single" w:sz="8" w:space="0" w:color="000000"/>
              <w:left w:val="single" w:sz="8" w:space="0" w:color="231F20"/>
              <w:bottom w:val="single" w:sz="8" w:space="0" w:color="000000"/>
              <w:right w:val="single" w:sz="8" w:space="0" w:color="00000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monitor</w:t>
            </w:r>
          </w:p>
        </w:tc>
      </w:tr>
      <w:tr w:rsidR="003D0D96" w:rsidRPr="003D0D96" w:rsidTr="003D0D96">
        <w:trPr>
          <w:trHeight w:val="680"/>
        </w:trPr>
        <w:tc>
          <w:tcPr>
            <w:tcW w:w="481" w:type="dxa"/>
            <w:tcBorders>
              <w:top w:val="single" w:sz="8" w:space="0" w:color="000000"/>
              <w:left w:val="single" w:sz="8" w:space="0" w:color="00000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rPr>
                <w:sz w:val="24"/>
                <w:szCs w:val="24"/>
              </w:rPr>
            </w:pPr>
            <w:r w:rsidRPr="00375EA7">
              <w:rPr>
                <w:sz w:val="24"/>
                <w:szCs w:val="24"/>
              </w:rPr>
              <w:t>19</w:t>
            </w:r>
          </w:p>
        </w:tc>
        <w:tc>
          <w:tcPr>
            <w:tcW w:w="7012" w:type="dxa"/>
            <w:tcBorders>
              <w:top w:val="single" w:sz="8" w:space="0" w:color="000000"/>
              <w:left w:val="single" w:sz="8" w:space="0" w:color="231F20"/>
              <w:bottom w:val="single" w:sz="8" w:space="0" w:color="000000"/>
              <w:right w:val="single" w:sz="8" w:space="0" w:color="231F20"/>
            </w:tcBorders>
            <w:vAlign w:val="center"/>
          </w:tcPr>
          <w:p w:rsidR="003D0D96" w:rsidRPr="00375EA7" w:rsidRDefault="003D0D96" w:rsidP="00375EA7">
            <w:pPr>
              <w:pStyle w:val="TableParagraph"/>
              <w:kinsoku w:val="0"/>
              <w:overflowPunct w:val="0"/>
              <w:spacing w:before="120" w:after="120"/>
              <w:ind w:left="179"/>
              <w:rPr>
                <w:sz w:val="24"/>
                <w:szCs w:val="24"/>
              </w:rPr>
            </w:pPr>
            <w:r w:rsidRPr="00375EA7">
              <w:rPr>
                <w:sz w:val="24"/>
                <w:szCs w:val="24"/>
              </w:rPr>
              <w:t xml:space="preserve"> Number of</w:t>
            </w:r>
            <w:r w:rsidR="00375EA7" w:rsidRPr="00375EA7">
              <w:rPr>
                <w:sz w:val="24"/>
                <w:szCs w:val="24"/>
              </w:rPr>
              <w:t xml:space="preserve"> Service Delivery Hub exercises completed</w:t>
            </w:r>
          </w:p>
        </w:tc>
        <w:tc>
          <w:tcPr>
            <w:tcW w:w="1488" w:type="dxa"/>
            <w:gridSpan w:val="2"/>
            <w:tcBorders>
              <w:top w:val="single" w:sz="8" w:space="0" w:color="000000"/>
              <w:left w:val="single" w:sz="8" w:space="0" w:color="231F20"/>
              <w:bottom w:val="single" w:sz="8" w:space="0" w:color="000000"/>
              <w:right w:val="single" w:sz="8" w:space="0" w:color="231F20"/>
            </w:tcBorders>
            <w:vAlign w:val="center"/>
          </w:tcPr>
          <w:p w:rsidR="003D0D96" w:rsidRPr="00375EA7" w:rsidRDefault="003D0D96" w:rsidP="00D1641E">
            <w:pPr>
              <w:pStyle w:val="TableParagraph"/>
              <w:kinsoku w:val="0"/>
              <w:overflowPunct w:val="0"/>
              <w:spacing w:before="120" w:after="120"/>
              <w:ind w:left="81"/>
              <w:rPr>
                <w:sz w:val="24"/>
                <w:szCs w:val="24"/>
              </w:rPr>
            </w:pPr>
            <w:r w:rsidRPr="00375EA7">
              <w:rPr>
                <w:sz w:val="24"/>
                <w:szCs w:val="24"/>
              </w:rPr>
              <w:t>new</w:t>
            </w:r>
          </w:p>
        </w:tc>
        <w:tc>
          <w:tcPr>
            <w:tcW w:w="1489" w:type="dxa"/>
            <w:gridSpan w:val="2"/>
            <w:tcBorders>
              <w:top w:val="single" w:sz="8" w:space="0" w:color="000000"/>
              <w:left w:val="single" w:sz="8" w:space="0" w:color="231F20"/>
              <w:bottom w:val="single" w:sz="8" w:space="0" w:color="000000"/>
              <w:right w:val="single" w:sz="8" w:space="0" w:color="000000"/>
            </w:tcBorders>
            <w:vAlign w:val="center"/>
          </w:tcPr>
          <w:p w:rsidR="003D0D96" w:rsidRPr="003D0D96" w:rsidRDefault="00375EA7" w:rsidP="00D1641E">
            <w:pPr>
              <w:pStyle w:val="TableParagraph"/>
              <w:kinsoku w:val="0"/>
              <w:overflowPunct w:val="0"/>
              <w:spacing w:before="120" w:after="120"/>
              <w:ind w:left="81"/>
              <w:rPr>
                <w:sz w:val="24"/>
                <w:szCs w:val="24"/>
              </w:rPr>
            </w:pPr>
            <w:r>
              <w:rPr>
                <w:sz w:val="24"/>
                <w:szCs w:val="24"/>
              </w:rPr>
              <w:t>12</w:t>
            </w:r>
          </w:p>
        </w:tc>
      </w:tr>
      <w:tr w:rsidR="003D0D96" w:rsidRPr="003D0D96" w:rsidTr="003D0D96">
        <w:trPr>
          <w:trHeight w:val="454"/>
        </w:trPr>
        <w:tc>
          <w:tcPr>
            <w:tcW w:w="10470" w:type="dxa"/>
            <w:gridSpan w:val="6"/>
            <w:tcBorders>
              <w:top w:val="single" w:sz="8" w:space="0" w:color="000000"/>
              <w:left w:val="single" w:sz="8" w:space="0" w:color="231F20"/>
              <w:bottom w:val="single" w:sz="8" w:space="0" w:color="231F20"/>
              <w:right w:val="single" w:sz="8" w:space="0" w:color="231F20"/>
            </w:tcBorders>
            <w:shd w:val="clear" w:color="auto" w:fill="DBDBDB" w:themeFill="background2"/>
            <w:vAlign w:val="center"/>
          </w:tcPr>
          <w:p w:rsidR="003D0D96" w:rsidRPr="003D0D96" w:rsidRDefault="003D0D96" w:rsidP="00D1641E">
            <w:pPr>
              <w:pStyle w:val="TableParagraph"/>
              <w:kinsoku w:val="0"/>
              <w:overflowPunct w:val="0"/>
              <w:spacing w:before="120" w:after="120" w:line="275" w:lineRule="exact"/>
              <w:rPr>
                <w:sz w:val="24"/>
                <w:szCs w:val="24"/>
              </w:rPr>
            </w:pPr>
            <w:r w:rsidRPr="003D0D96">
              <w:rPr>
                <w:sz w:val="24"/>
                <w:szCs w:val="24"/>
              </w:rPr>
              <w:t>Customer Experience</w:t>
            </w:r>
          </w:p>
        </w:tc>
      </w:tr>
      <w:tr w:rsidR="003D0D96" w:rsidRPr="003D0D96" w:rsidTr="003D0D96">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line="275" w:lineRule="exact"/>
              <w:rPr>
                <w:sz w:val="24"/>
                <w:szCs w:val="24"/>
              </w:rPr>
            </w:pPr>
            <w:r w:rsidRPr="003D0D96">
              <w:rPr>
                <w:sz w:val="24"/>
                <w:szCs w:val="24"/>
              </w:rPr>
              <w:t>20</w:t>
            </w:r>
          </w:p>
        </w:tc>
        <w:tc>
          <w:tcPr>
            <w:tcW w:w="7012"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line="275" w:lineRule="exact"/>
              <w:rPr>
                <w:sz w:val="24"/>
                <w:szCs w:val="24"/>
              </w:rPr>
            </w:pPr>
            <w:r w:rsidRPr="003D0D96">
              <w:rPr>
                <w:sz w:val="24"/>
                <w:szCs w:val="24"/>
              </w:rPr>
              <w:t>Percentage of domestic respondents satisfied with the overall service</w:t>
            </w:r>
          </w:p>
        </w:tc>
        <w:tc>
          <w:tcPr>
            <w:tcW w:w="1488"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line="275" w:lineRule="exact"/>
              <w:rPr>
                <w:sz w:val="24"/>
                <w:szCs w:val="24"/>
              </w:rPr>
            </w:pPr>
            <w:r w:rsidRPr="003D0D96">
              <w:rPr>
                <w:sz w:val="24"/>
                <w:szCs w:val="24"/>
              </w:rPr>
              <w:t>100%</w:t>
            </w:r>
          </w:p>
        </w:tc>
        <w:tc>
          <w:tcPr>
            <w:tcW w:w="1489"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line="275" w:lineRule="exact"/>
              <w:ind w:left="81"/>
              <w:rPr>
                <w:sz w:val="24"/>
                <w:szCs w:val="24"/>
              </w:rPr>
            </w:pPr>
            <w:r w:rsidRPr="003D0D96">
              <w:rPr>
                <w:sz w:val="24"/>
                <w:szCs w:val="24"/>
              </w:rPr>
              <w:t>100%</w:t>
            </w:r>
          </w:p>
        </w:tc>
      </w:tr>
      <w:tr w:rsidR="003D0D96" w:rsidRPr="003D0D96" w:rsidTr="003D0D96">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21</w:t>
            </w:r>
          </w:p>
        </w:tc>
        <w:tc>
          <w:tcPr>
            <w:tcW w:w="7012"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0"/>
              <w:rPr>
                <w:sz w:val="24"/>
                <w:szCs w:val="24"/>
              </w:rPr>
            </w:pPr>
            <w:r w:rsidRPr="003D0D96">
              <w:rPr>
                <w:sz w:val="24"/>
                <w:szCs w:val="24"/>
              </w:rPr>
              <w:t xml:space="preserve">  Percentage of commercial respondents satisfied with the overall</w:t>
            </w:r>
          </w:p>
          <w:p w:rsidR="003D0D96" w:rsidRPr="003D0D96" w:rsidRDefault="003D0D96" w:rsidP="00D1641E">
            <w:pPr>
              <w:pStyle w:val="TableParagraph"/>
              <w:kinsoku w:val="0"/>
              <w:overflowPunct w:val="0"/>
              <w:spacing w:before="120" w:after="120" w:line="275" w:lineRule="exact"/>
              <w:rPr>
                <w:sz w:val="24"/>
                <w:szCs w:val="24"/>
              </w:rPr>
            </w:pPr>
            <w:r w:rsidRPr="003D0D96">
              <w:rPr>
                <w:sz w:val="24"/>
                <w:szCs w:val="24"/>
              </w:rPr>
              <w:t>Service</w:t>
            </w:r>
          </w:p>
        </w:tc>
        <w:tc>
          <w:tcPr>
            <w:tcW w:w="1488"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95%</w:t>
            </w:r>
          </w:p>
        </w:tc>
        <w:tc>
          <w:tcPr>
            <w:tcW w:w="1489"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95%</w:t>
            </w:r>
          </w:p>
        </w:tc>
      </w:tr>
      <w:tr w:rsidR="003D0D96" w:rsidRPr="003D0D96" w:rsidTr="003D0D96">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lastRenderedPageBreak/>
              <w:t>22</w:t>
            </w:r>
          </w:p>
        </w:tc>
        <w:tc>
          <w:tcPr>
            <w:tcW w:w="7012"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Percentage of respondents satisfied with the services with regards to Fire Safety Audits</w:t>
            </w:r>
          </w:p>
        </w:tc>
        <w:tc>
          <w:tcPr>
            <w:tcW w:w="1488"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90%</w:t>
            </w:r>
          </w:p>
        </w:tc>
        <w:tc>
          <w:tcPr>
            <w:tcW w:w="1489"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90%</w:t>
            </w:r>
          </w:p>
        </w:tc>
      </w:tr>
      <w:tr w:rsidR="003D0D96" w:rsidRPr="003D0D96" w:rsidTr="003D0D96">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23</w:t>
            </w:r>
          </w:p>
        </w:tc>
        <w:tc>
          <w:tcPr>
            <w:tcW w:w="7012"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 of domestic respondents satisfied with the service regards their Safe and Well Visit</w:t>
            </w:r>
          </w:p>
        </w:tc>
        <w:tc>
          <w:tcPr>
            <w:tcW w:w="1488"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100%</w:t>
            </w:r>
          </w:p>
        </w:tc>
        <w:tc>
          <w:tcPr>
            <w:tcW w:w="1489"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100%</w:t>
            </w:r>
          </w:p>
        </w:tc>
      </w:tr>
      <w:tr w:rsidR="003D0D96" w:rsidRPr="003D0D96" w:rsidTr="003D0D96">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24</w:t>
            </w:r>
          </w:p>
        </w:tc>
        <w:tc>
          <w:tcPr>
            <w:tcW w:w="7012"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Number of complaints received</w:t>
            </w:r>
          </w:p>
        </w:tc>
        <w:tc>
          <w:tcPr>
            <w:tcW w:w="1488"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Monitor</w:t>
            </w:r>
          </w:p>
        </w:tc>
        <w:tc>
          <w:tcPr>
            <w:tcW w:w="1489"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Monitor</w:t>
            </w:r>
          </w:p>
        </w:tc>
      </w:tr>
      <w:tr w:rsidR="003D0D96" w:rsidRPr="003D0D96" w:rsidTr="003D0D96">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25</w:t>
            </w:r>
          </w:p>
        </w:tc>
        <w:tc>
          <w:tcPr>
            <w:tcW w:w="7012" w:type="dxa"/>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 xml:space="preserve">Number of compliments received </w:t>
            </w:r>
          </w:p>
        </w:tc>
        <w:tc>
          <w:tcPr>
            <w:tcW w:w="1488"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 xml:space="preserve">Monitor </w:t>
            </w:r>
          </w:p>
        </w:tc>
        <w:tc>
          <w:tcPr>
            <w:tcW w:w="1489" w:type="dxa"/>
            <w:gridSpan w:val="2"/>
            <w:tcBorders>
              <w:top w:val="single" w:sz="8" w:space="0" w:color="231F20"/>
              <w:left w:val="single" w:sz="8" w:space="0" w:color="231F20"/>
              <w:bottom w:val="single" w:sz="8" w:space="0" w:color="231F20"/>
              <w:right w:val="single" w:sz="8" w:space="0" w:color="231F20"/>
            </w:tcBorders>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Monitor</w:t>
            </w:r>
          </w:p>
        </w:tc>
      </w:tr>
    </w:tbl>
    <w:p w:rsidR="003D0D96" w:rsidRDefault="003D0D96"/>
    <w:p w:rsidR="003D0D96" w:rsidRDefault="003D0D96">
      <w:pPr>
        <w:rPr>
          <w:rFonts w:asciiTheme="majorHAnsi" w:eastAsiaTheme="majorEastAsia" w:hAnsiTheme="majorHAnsi" w:cstheme="majorBidi"/>
          <w:b/>
          <w:sz w:val="44"/>
        </w:rPr>
      </w:pPr>
      <w:r>
        <w:br w:type="page"/>
      </w:r>
    </w:p>
    <w:p w:rsidR="003D0D96" w:rsidRPr="003D0D96" w:rsidRDefault="003D0D96" w:rsidP="003D0D96">
      <w:pPr>
        <w:pStyle w:val="Heading3"/>
        <w:rPr>
          <w:noProof w:val="0"/>
        </w:rPr>
      </w:pPr>
      <w:bookmarkStart w:id="11" w:name="_Toc103861442"/>
      <w:r w:rsidRPr="003D0D96">
        <w:rPr>
          <w:noProof w:val="0"/>
        </w:rPr>
        <w:lastRenderedPageBreak/>
        <w:t>Corporate Health</w:t>
      </w:r>
      <w:bookmarkEnd w:id="11"/>
    </w:p>
    <w:p w:rsidR="003D0D96" w:rsidRPr="003D0D96" w:rsidRDefault="003D0D96" w:rsidP="003D0D96">
      <w:pPr>
        <w:pStyle w:val="NoSpacing"/>
        <w:spacing w:line="276" w:lineRule="auto"/>
        <w:rPr>
          <w:rFonts w:asciiTheme="minorHAnsi" w:eastAsiaTheme="minorHAnsi" w:hAnsiTheme="minorHAnsi" w:cstheme="minorBidi"/>
          <w:sz w:val="24"/>
          <w:szCs w:val="24"/>
          <w:lang w:eastAsia="en-US"/>
        </w:rPr>
      </w:pPr>
      <w:r w:rsidRPr="003D0D96">
        <w:rPr>
          <w:rFonts w:asciiTheme="minorHAnsi" w:eastAsiaTheme="minorHAnsi" w:hAnsiTheme="minorHAnsi" w:cstheme="minorBidi"/>
          <w:sz w:val="24"/>
          <w:szCs w:val="24"/>
          <w:lang w:eastAsia="en-US"/>
        </w:rPr>
        <w:t>The Corporate Health quadrant monitors the wellbeing of the organisation.   Performance is monitored in relation to staffing levels, health and safety and finances within RBFRS, to ensure the organisation is being run safely, efficiently and is cost effective.</w:t>
      </w:r>
    </w:p>
    <w:p w:rsidR="003D0D96" w:rsidRPr="00076402" w:rsidRDefault="003D0D96" w:rsidP="003D0D96">
      <w:pPr>
        <w:pStyle w:val="NoSpacing"/>
        <w:spacing w:line="360" w:lineRule="auto"/>
        <w:rPr>
          <w:sz w:val="24"/>
          <w:szCs w:val="24"/>
          <w:highlight w:val="yellow"/>
        </w:rPr>
      </w:pPr>
    </w:p>
    <w:tbl>
      <w:tblPr>
        <w:tblpPr w:leftFromText="180" w:rightFromText="180" w:vertAnchor="text" w:horzAnchor="margin" w:tblpY="3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
        <w:gridCol w:w="7027"/>
        <w:gridCol w:w="1276"/>
        <w:gridCol w:w="1276"/>
      </w:tblGrid>
      <w:tr w:rsidR="003D0D96" w:rsidRPr="003D0D96" w:rsidTr="003D0D96">
        <w:trPr>
          <w:trHeight w:val="674"/>
        </w:trPr>
        <w:tc>
          <w:tcPr>
            <w:tcW w:w="481" w:type="dxa"/>
            <w:shd w:val="clear" w:color="auto" w:fill="DBDBDB" w:themeFill="background2"/>
            <w:vAlign w:val="center"/>
          </w:tcPr>
          <w:p w:rsidR="003D0D96" w:rsidRPr="003D0D96" w:rsidRDefault="003D0D96" w:rsidP="00D1641E">
            <w:pPr>
              <w:pStyle w:val="TableParagraph"/>
              <w:kinsoku w:val="0"/>
              <w:overflowPunct w:val="0"/>
              <w:spacing w:before="120" w:after="120"/>
              <w:rPr>
                <w:b/>
                <w:bCs/>
                <w:sz w:val="24"/>
                <w:szCs w:val="24"/>
              </w:rPr>
            </w:pPr>
          </w:p>
        </w:tc>
        <w:tc>
          <w:tcPr>
            <w:tcW w:w="7027" w:type="dxa"/>
            <w:shd w:val="clear" w:color="auto" w:fill="DBDBDB" w:themeFill="background2"/>
            <w:vAlign w:val="center"/>
          </w:tcPr>
          <w:p w:rsidR="003D0D96" w:rsidRPr="003D0D96" w:rsidRDefault="003D0D96" w:rsidP="00D1641E">
            <w:pPr>
              <w:pStyle w:val="TableParagraph"/>
              <w:kinsoku w:val="0"/>
              <w:overflowPunct w:val="0"/>
              <w:spacing w:before="120" w:after="120"/>
              <w:rPr>
                <w:b/>
                <w:bCs/>
                <w:sz w:val="24"/>
                <w:szCs w:val="24"/>
              </w:rPr>
            </w:pPr>
            <w:r w:rsidRPr="003D0D96">
              <w:rPr>
                <w:b/>
                <w:bCs/>
                <w:sz w:val="24"/>
                <w:szCs w:val="24"/>
              </w:rPr>
              <w:t>Measure</w:t>
            </w:r>
          </w:p>
        </w:tc>
        <w:tc>
          <w:tcPr>
            <w:tcW w:w="1276" w:type="dxa"/>
            <w:shd w:val="clear" w:color="auto" w:fill="DBDBDB" w:themeFill="background2"/>
            <w:vAlign w:val="center"/>
          </w:tcPr>
          <w:p w:rsidR="003D0D96" w:rsidRPr="003D0D96" w:rsidRDefault="00E9063F" w:rsidP="00D1641E">
            <w:pPr>
              <w:pStyle w:val="TableParagraph"/>
              <w:kinsoku w:val="0"/>
              <w:overflowPunct w:val="0"/>
              <w:spacing w:before="120" w:after="120"/>
              <w:ind w:left="81"/>
              <w:rPr>
                <w:b/>
                <w:bCs/>
                <w:sz w:val="24"/>
                <w:szCs w:val="24"/>
              </w:rPr>
            </w:pPr>
            <w:r>
              <w:rPr>
                <w:b/>
                <w:bCs/>
                <w:sz w:val="24"/>
                <w:szCs w:val="24"/>
              </w:rPr>
              <w:t>2021-22</w:t>
            </w:r>
          </w:p>
          <w:p w:rsidR="003D0D96" w:rsidRPr="003D0D96" w:rsidRDefault="003D0D96" w:rsidP="00D1641E">
            <w:pPr>
              <w:pStyle w:val="TableParagraph"/>
              <w:kinsoku w:val="0"/>
              <w:overflowPunct w:val="0"/>
              <w:spacing w:before="120" w:after="120"/>
              <w:rPr>
                <w:b/>
                <w:bCs/>
                <w:sz w:val="24"/>
                <w:szCs w:val="24"/>
              </w:rPr>
            </w:pPr>
            <w:r w:rsidRPr="003D0D96">
              <w:rPr>
                <w:b/>
                <w:bCs/>
                <w:sz w:val="24"/>
                <w:szCs w:val="24"/>
              </w:rPr>
              <w:t>Target</w:t>
            </w:r>
          </w:p>
        </w:tc>
        <w:tc>
          <w:tcPr>
            <w:tcW w:w="1276" w:type="dxa"/>
            <w:shd w:val="clear" w:color="auto" w:fill="DBDBDB" w:themeFill="background2"/>
            <w:vAlign w:val="center"/>
          </w:tcPr>
          <w:p w:rsidR="003D0D96" w:rsidRPr="003D0D96" w:rsidRDefault="00E9063F" w:rsidP="00D1641E">
            <w:pPr>
              <w:pStyle w:val="TableParagraph"/>
              <w:kinsoku w:val="0"/>
              <w:overflowPunct w:val="0"/>
              <w:spacing w:before="120" w:after="120"/>
              <w:ind w:left="81"/>
              <w:rPr>
                <w:b/>
                <w:bCs/>
                <w:sz w:val="24"/>
                <w:szCs w:val="24"/>
              </w:rPr>
            </w:pPr>
            <w:r>
              <w:rPr>
                <w:b/>
                <w:bCs/>
                <w:sz w:val="24"/>
                <w:szCs w:val="24"/>
              </w:rPr>
              <w:t>2022-23</w:t>
            </w:r>
          </w:p>
          <w:p w:rsidR="003D0D96" w:rsidRPr="003D0D96" w:rsidRDefault="003D0D96" w:rsidP="00D1641E">
            <w:pPr>
              <w:pStyle w:val="TableParagraph"/>
              <w:kinsoku w:val="0"/>
              <w:overflowPunct w:val="0"/>
              <w:spacing w:before="120" w:after="120"/>
              <w:ind w:left="81"/>
              <w:rPr>
                <w:b/>
                <w:bCs/>
                <w:sz w:val="24"/>
                <w:szCs w:val="24"/>
              </w:rPr>
            </w:pPr>
            <w:r w:rsidRPr="003D0D96">
              <w:rPr>
                <w:b/>
                <w:bCs/>
                <w:sz w:val="24"/>
                <w:szCs w:val="24"/>
              </w:rPr>
              <w:t xml:space="preserve"> Target</w:t>
            </w:r>
          </w:p>
        </w:tc>
      </w:tr>
      <w:tr w:rsidR="003D0D96" w:rsidRPr="003D0D96" w:rsidTr="003D0D96">
        <w:trPr>
          <w:trHeight w:val="454"/>
        </w:trPr>
        <w:tc>
          <w:tcPr>
            <w:tcW w:w="10060" w:type="dxa"/>
            <w:gridSpan w:val="4"/>
            <w:shd w:val="clear" w:color="auto" w:fill="DBDBDB" w:themeFill="background2"/>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Human Resources and Learning &amp; Development</w:t>
            </w:r>
          </w:p>
        </w:tc>
      </w:tr>
      <w:tr w:rsidR="003D0D96" w:rsidRPr="003D0D96" w:rsidTr="00D1641E">
        <w:trPr>
          <w:trHeight w:val="397"/>
        </w:trPr>
        <w:tc>
          <w:tcPr>
            <w:tcW w:w="481"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26</w:t>
            </w:r>
          </w:p>
        </w:tc>
        <w:tc>
          <w:tcPr>
            <w:tcW w:w="7027"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Percentage of working time lost to sickness across all staff groups</w:t>
            </w:r>
          </w:p>
        </w:tc>
        <w:tc>
          <w:tcPr>
            <w:tcW w:w="1276"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4%</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4%</w:t>
            </w:r>
          </w:p>
        </w:tc>
      </w:tr>
      <w:tr w:rsidR="003D0D96" w:rsidRPr="003D0D96" w:rsidTr="00D1641E">
        <w:trPr>
          <w:trHeight w:val="397"/>
        </w:trPr>
        <w:tc>
          <w:tcPr>
            <w:tcW w:w="481"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27</w:t>
            </w:r>
          </w:p>
        </w:tc>
        <w:tc>
          <w:tcPr>
            <w:tcW w:w="7027"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Percentage of eligible staff with Personal Development Reviews</w:t>
            </w:r>
          </w:p>
        </w:tc>
        <w:tc>
          <w:tcPr>
            <w:tcW w:w="1276"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100%</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100%</w:t>
            </w:r>
          </w:p>
        </w:tc>
      </w:tr>
      <w:tr w:rsidR="003D0D96" w:rsidRPr="003D0D96" w:rsidTr="00D1641E">
        <w:trPr>
          <w:trHeight w:val="397"/>
        </w:trPr>
        <w:tc>
          <w:tcPr>
            <w:tcW w:w="481"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28</w:t>
            </w:r>
          </w:p>
        </w:tc>
        <w:tc>
          <w:tcPr>
            <w:tcW w:w="7027"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 xml:space="preserve">Number of formal grievances </w:t>
            </w:r>
          </w:p>
        </w:tc>
        <w:tc>
          <w:tcPr>
            <w:tcW w:w="1276"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Monitor</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Monitor</w:t>
            </w:r>
          </w:p>
        </w:tc>
      </w:tr>
      <w:tr w:rsidR="003D0D96" w:rsidRPr="003D0D96" w:rsidTr="003D0D96">
        <w:trPr>
          <w:trHeight w:val="397"/>
        </w:trPr>
        <w:tc>
          <w:tcPr>
            <w:tcW w:w="10060" w:type="dxa"/>
            <w:gridSpan w:val="4"/>
            <w:shd w:val="clear" w:color="auto" w:fill="DBDBDB" w:themeFill="background2"/>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Health and Safety</w:t>
            </w:r>
          </w:p>
        </w:tc>
      </w:tr>
      <w:tr w:rsidR="003D0D96" w:rsidRPr="003D0D96" w:rsidTr="00D1641E">
        <w:trPr>
          <w:trHeight w:val="397"/>
        </w:trPr>
        <w:tc>
          <w:tcPr>
            <w:tcW w:w="481"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29</w:t>
            </w:r>
          </w:p>
        </w:tc>
        <w:tc>
          <w:tcPr>
            <w:tcW w:w="7027"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Number of RIDDOR accidents and diseases</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 xml:space="preserve">Max 6 </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Max 4</w:t>
            </w:r>
          </w:p>
        </w:tc>
      </w:tr>
      <w:tr w:rsidR="003D0D96" w:rsidRPr="003D0D96" w:rsidTr="003D0D96">
        <w:trPr>
          <w:trHeight w:val="454"/>
        </w:trPr>
        <w:tc>
          <w:tcPr>
            <w:tcW w:w="10060" w:type="dxa"/>
            <w:gridSpan w:val="4"/>
            <w:shd w:val="clear" w:color="auto" w:fill="DBDBDB" w:themeFill="background2"/>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Finance and Procurement</w:t>
            </w:r>
          </w:p>
        </w:tc>
      </w:tr>
      <w:tr w:rsidR="003D0D96" w:rsidRPr="003D0D96" w:rsidTr="00D1641E">
        <w:trPr>
          <w:trHeight w:val="397"/>
        </w:trPr>
        <w:tc>
          <w:tcPr>
            <w:tcW w:w="481"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30</w:t>
            </w:r>
          </w:p>
        </w:tc>
        <w:tc>
          <w:tcPr>
            <w:tcW w:w="7027"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Percentage of spend subject to competition</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85%</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85%</w:t>
            </w:r>
          </w:p>
        </w:tc>
      </w:tr>
      <w:tr w:rsidR="003D0D96" w:rsidRPr="003D0D96" w:rsidTr="00D1641E">
        <w:trPr>
          <w:trHeight w:val="397"/>
        </w:trPr>
        <w:tc>
          <w:tcPr>
            <w:tcW w:w="481"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31</w:t>
            </w:r>
          </w:p>
        </w:tc>
        <w:tc>
          <w:tcPr>
            <w:tcW w:w="7027"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Compliant spend as a percentage of overall spend</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100%</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100%</w:t>
            </w:r>
          </w:p>
        </w:tc>
      </w:tr>
      <w:tr w:rsidR="003D0D96" w:rsidRPr="003D0D96" w:rsidTr="003D0D96">
        <w:trPr>
          <w:trHeight w:val="454"/>
        </w:trPr>
        <w:tc>
          <w:tcPr>
            <w:tcW w:w="10060" w:type="dxa"/>
            <w:gridSpan w:val="4"/>
            <w:shd w:val="clear" w:color="auto" w:fill="DBDBDB" w:themeFill="background2"/>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Freedom of Information</w:t>
            </w:r>
          </w:p>
        </w:tc>
      </w:tr>
      <w:tr w:rsidR="003D0D96" w:rsidRPr="003D0D96" w:rsidTr="00D1641E">
        <w:trPr>
          <w:trHeight w:val="397"/>
        </w:trPr>
        <w:tc>
          <w:tcPr>
            <w:tcW w:w="481" w:type="dxa"/>
            <w:vAlign w:val="center"/>
          </w:tcPr>
          <w:p w:rsidR="003D0D96" w:rsidRPr="003D0D96" w:rsidRDefault="003D0D96" w:rsidP="00D1641E">
            <w:pPr>
              <w:pStyle w:val="TableParagraph"/>
              <w:kinsoku w:val="0"/>
              <w:overflowPunct w:val="0"/>
              <w:spacing w:before="120" w:after="120"/>
              <w:rPr>
                <w:sz w:val="24"/>
                <w:szCs w:val="24"/>
              </w:rPr>
            </w:pPr>
            <w:r w:rsidRPr="003D0D96">
              <w:rPr>
                <w:sz w:val="24"/>
                <w:szCs w:val="24"/>
              </w:rPr>
              <w:t>32</w:t>
            </w:r>
          </w:p>
        </w:tc>
        <w:tc>
          <w:tcPr>
            <w:tcW w:w="7027" w:type="dxa"/>
            <w:vAlign w:val="center"/>
          </w:tcPr>
          <w:p w:rsidR="003D0D96" w:rsidRPr="003D0D96" w:rsidRDefault="003D0D96" w:rsidP="00D1641E">
            <w:pPr>
              <w:pStyle w:val="TableParagraph"/>
              <w:kinsoku w:val="0"/>
              <w:overflowPunct w:val="0"/>
              <w:spacing w:before="120" w:after="120"/>
              <w:ind w:left="79" w:right="85"/>
              <w:rPr>
                <w:sz w:val="24"/>
                <w:szCs w:val="24"/>
              </w:rPr>
            </w:pPr>
            <w:r w:rsidRPr="003D0D96">
              <w:rPr>
                <w:sz w:val="24"/>
                <w:szCs w:val="24"/>
              </w:rPr>
              <w:t>Number of Information Commissioner assessments finding that the Service has breached Information Rights Legislation (Freedom of Information Act, Environmental Regulations or Data Protection Legislation)</w:t>
            </w:r>
          </w:p>
        </w:tc>
        <w:tc>
          <w:tcPr>
            <w:tcW w:w="1276" w:type="dxa"/>
            <w:vAlign w:val="center"/>
          </w:tcPr>
          <w:p w:rsidR="003D0D96" w:rsidRPr="003D0D96" w:rsidRDefault="003D0D96" w:rsidP="00D1641E">
            <w:pPr>
              <w:pStyle w:val="TableParagraph"/>
              <w:kinsoku w:val="0"/>
              <w:overflowPunct w:val="0"/>
              <w:spacing w:before="120" w:after="120"/>
              <w:ind w:right="259"/>
              <w:rPr>
                <w:sz w:val="24"/>
                <w:szCs w:val="24"/>
              </w:rPr>
            </w:pPr>
            <w:r w:rsidRPr="003D0D96">
              <w:rPr>
                <w:sz w:val="24"/>
                <w:szCs w:val="24"/>
              </w:rPr>
              <w:t>0</w:t>
            </w:r>
          </w:p>
        </w:tc>
        <w:tc>
          <w:tcPr>
            <w:tcW w:w="1276" w:type="dxa"/>
            <w:vAlign w:val="center"/>
          </w:tcPr>
          <w:p w:rsidR="003D0D96" w:rsidRPr="003D0D96" w:rsidRDefault="003D0D96" w:rsidP="00D1641E">
            <w:pPr>
              <w:pStyle w:val="TableParagraph"/>
              <w:kinsoku w:val="0"/>
              <w:overflowPunct w:val="0"/>
              <w:spacing w:before="120" w:after="120"/>
              <w:ind w:left="81"/>
              <w:rPr>
                <w:sz w:val="24"/>
                <w:szCs w:val="24"/>
              </w:rPr>
            </w:pPr>
            <w:r w:rsidRPr="003D0D96">
              <w:rPr>
                <w:sz w:val="24"/>
                <w:szCs w:val="24"/>
              </w:rPr>
              <w:t>0</w:t>
            </w:r>
          </w:p>
        </w:tc>
      </w:tr>
    </w:tbl>
    <w:p w:rsidR="003D0D96" w:rsidRPr="00076402" w:rsidRDefault="003D0D96" w:rsidP="003D0D96">
      <w:pPr>
        <w:pStyle w:val="BodyText"/>
        <w:kinsoku w:val="0"/>
        <w:overflowPunct w:val="0"/>
        <w:spacing w:before="2"/>
        <w:rPr>
          <w:color w:val="595959" w:themeColor="text1" w:themeTint="A6"/>
          <w:highlight w:val="yellow"/>
        </w:rPr>
      </w:pPr>
    </w:p>
    <w:p w:rsidR="003D0D96" w:rsidRPr="003D0D96" w:rsidRDefault="003D0D96" w:rsidP="003D0D96">
      <w:pPr>
        <w:pStyle w:val="NoSpacing"/>
        <w:spacing w:line="276" w:lineRule="auto"/>
        <w:rPr>
          <w:rFonts w:asciiTheme="minorHAnsi" w:eastAsiaTheme="minorHAnsi" w:hAnsiTheme="minorHAnsi" w:cstheme="minorBidi"/>
          <w:sz w:val="24"/>
          <w:szCs w:val="24"/>
          <w:lang w:eastAsia="en-US"/>
        </w:rPr>
      </w:pPr>
      <w:r w:rsidRPr="003D0D96">
        <w:rPr>
          <w:rFonts w:asciiTheme="minorHAnsi" w:eastAsiaTheme="minorHAnsi" w:hAnsiTheme="minorHAnsi" w:cstheme="minorBidi"/>
          <w:sz w:val="24"/>
          <w:szCs w:val="24"/>
          <w:lang w:eastAsia="en-US"/>
        </w:rPr>
        <w:t>Definitions of measures are available in Appendix A.</w:t>
      </w:r>
    </w:p>
    <w:p w:rsidR="003D0D96" w:rsidRDefault="003D0D96"/>
    <w:p w:rsidR="00407D23" w:rsidRDefault="00407D23" w:rsidP="00407D23">
      <w:r>
        <w:br w:type="page"/>
      </w:r>
    </w:p>
    <w:p w:rsidR="00407D23" w:rsidRDefault="00407D23" w:rsidP="00407D23">
      <w:pPr>
        <w:pStyle w:val="Heading1"/>
        <w:rPr>
          <w:noProof w:val="0"/>
        </w:rPr>
      </w:pPr>
      <w:bookmarkStart w:id="12" w:name="_Toc103861443"/>
      <w:r>
        <w:rPr>
          <w:noProof w:val="0"/>
        </w:rPr>
        <w:lastRenderedPageBreak/>
        <w:t>Priority Programmes – Key Deliverables</w:t>
      </w:r>
      <w:bookmarkEnd w:id="12"/>
    </w:p>
    <w:p w:rsidR="00407D23" w:rsidRPr="00407D23" w:rsidRDefault="00407D23" w:rsidP="00407D23">
      <w:pPr>
        <w:pStyle w:val="Heading2"/>
        <w:rPr>
          <w:noProof w:val="0"/>
        </w:rPr>
      </w:pPr>
      <w:bookmarkStart w:id="13" w:name="_Toc103861444"/>
      <w:r w:rsidRPr="00407D23">
        <w:rPr>
          <w:noProof w:val="0"/>
        </w:rPr>
        <w:t>Community Risk Management Planning</w:t>
      </w:r>
      <w:bookmarkEnd w:id="13"/>
      <w:r w:rsidRPr="00407D23">
        <w:rPr>
          <w:noProof w:val="0"/>
        </w:rPr>
        <w:t xml:space="preserve"> </w:t>
      </w:r>
    </w:p>
    <w:p w:rsidR="00407D23" w:rsidRPr="005B5F89" w:rsidRDefault="00407D23" w:rsidP="00407D23">
      <w:pPr>
        <w:pStyle w:val="NoSpacing"/>
        <w:spacing w:line="276" w:lineRule="auto"/>
        <w:rPr>
          <w:color w:val="595959" w:themeColor="text1" w:themeTint="A6"/>
          <w:sz w:val="24"/>
          <w:szCs w:val="24"/>
        </w:rPr>
      </w:pPr>
      <w:r w:rsidRPr="00407D23">
        <w:rPr>
          <w:rFonts w:asciiTheme="minorHAnsi" w:eastAsiaTheme="minorHAnsi" w:hAnsiTheme="minorHAnsi" w:cstheme="minorBidi"/>
          <w:sz w:val="24"/>
          <w:szCs w:val="24"/>
          <w:lang w:eastAsia="en-US"/>
        </w:rPr>
        <w:t>RBFA is required to publish a Community Risk Management Plan (CRMP), previously referred to as an ‘Integrated Risk Management Plan’ or IRMP. In 2018, we consulted on and published an</w:t>
      </w:r>
      <w:r w:rsidRPr="005B5F89">
        <w:rPr>
          <w:color w:val="595959" w:themeColor="text1" w:themeTint="A6"/>
          <w:sz w:val="24"/>
          <w:szCs w:val="24"/>
        </w:rPr>
        <w:t xml:space="preserve"> </w:t>
      </w:r>
      <w:hyperlink r:id="rId18" w:history="1">
        <w:r w:rsidRPr="005B5F89">
          <w:rPr>
            <w:rStyle w:val="Hyperlink"/>
            <w:sz w:val="24"/>
            <w:szCs w:val="24"/>
          </w:rPr>
          <w:t>IRMP for 2019-23</w:t>
        </w:r>
      </w:hyperlink>
      <w:r w:rsidRPr="005B5F89">
        <w:rPr>
          <w:sz w:val="24"/>
          <w:szCs w:val="24"/>
        </w:rPr>
        <w:t xml:space="preserve">, </w:t>
      </w:r>
      <w:r w:rsidRPr="00407D23">
        <w:rPr>
          <w:rFonts w:asciiTheme="minorHAnsi" w:eastAsiaTheme="minorHAnsi" w:hAnsiTheme="minorHAnsi" w:cstheme="minorBidi"/>
          <w:sz w:val="24"/>
          <w:szCs w:val="24"/>
          <w:lang w:eastAsia="en-US"/>
        </w:rPr>
        <w:t>which reflects the priorities and requirements of the</w:t>
      </w:r>
      <w:r w:rsidRPr="005B5F89">
        <w:rPr>
          <w:sz w:val="24"/>
          <w:szCs w:val="24"/>
        </w:rPr>
        <w:t xml:space="preserve"> </w:t>
      </w:r>
      <w:hyperlink r:id="rId19" w:history="1">
        <w:r w:rsidRPr="005B5F89">
          <w:rPr>
            <w:rStyle w:val="Hyperlink"/>
            <w:sz w:val="24"/>
            <w:szCs w:val="24"/>
          </w:rPr>
          <w:t>Fire and Rescue National Framework for England</w:t>
        </w:r>
      </w:hyperlink>
      <w:r w:rsidRPr="005B5F89">
        <w:rPr>
          <w:color w:val="595959" w:themeColor="text1" w:themeTint="A6"/>
          <w:sz w:val="24"/>
          <w:szCs w:val="24"/>
        </w:rPr>
        <w:t xml:space="preserve">. </w:t>
      </w:r>
    </w:p>
    <w:p w:rsidR="00407D23" w:rsidRDefault="00407D23" w:rsidP="00407D23">
      <w:pPr>
        <w:pStyle w:val="NoSpacing"/>
        <w:spacing w:line="276" w:lineRule="auto"/>
        <w:rPr>
          <w:color w:val="595959" w:themeColor="text1" w:themeTint="A6"/>
          <w:sz w:val="24"/>
          <w:szCs w:val="24"/>
          <w:highlight w:val="yellow"/>
        </w:rPr>
      </w:pPr>
    </w:p>
    <w:p w:rsidR="00407D23" w:rsidRPr="00407D23" w:rsidRDefault="00407D23" w:rsidP="00407D23">
      <w:pPr>
        <w:pStyle w:val="NoSpacing"/>
        <w:spacing w:line="276" w:lineRule="auto"/>
        <w:rPr>
          <w:rFonts w:asciiTheme="minorHAnsi" w:eastAsiaTheme="minorHAnsi" w:hAnsiTheme="minorHAnsi" w:cstheme="minorBidi"/>
          <w:sz w:val="24"/>
          <w:szCs w:val="24"/>
          <w:lang w:eastAsia="en-US"/>
        </w:rPr>
      </w:pPr>
      <w:r w:rsidRPr="00407D23">
        <w:rPr>
          <w:rFonts w:asciiTheme="minorHAnsi" w:eastAsiaTheme="minorHAnsi" w:hAnsiTheme="minorHAnsi" w:cstheme="minorBidi"/>
          <w:sz w:val="24"/>
          <w:szCs w:val="24"/>
          <w:lang w:eastAsia="en-US"/>
        </w:rPr>
        <w:t>In 2022/23, our key CRMP deliverables will include:</w:t>
      </w:r>
    </w:p>
    <w:p w:rsidR="00407D23" w:rsidRPr="00076402" w:rsidRDefault="00407D23" w:rsidP="00407D23">
      <w:pPr>
        <w:pStyle w:val="NoSpacing"/>
        <w:spacing w:line="276" w:lineRule="auto"/>
        <w:rPr>
          <w:sz w:val="20"/>
          <w:szCs w:val="20"/>
          <w:highlight w:val="yellow"/>
        </w:rPr>
      </w:pPr>
    </w:p>
    <w:p w:rsidR="00407D23" w:rsidRPr="00407D23" w:rsidRDefault="00407D23" w:rsidP="00407D23">
      <w:pPr>
        <w:pStyle w:val="Heading4"/>
        <w:rPr>
          <w:noProof w:val="0"/>
        </w:rPr>
      </w:pPr>
      <w:r w:rsidRPr="00407D23">
        <w:rPr>
          <w:noProof w:val="0"/>
        </w:rPr>
        <w:t>Project 1: Risk Analyses</w:t>
      </w:r>
    </w:p>
    <w:p w:rsidR="00407D23" w:rsidRPr="00407D23" w:rsidRDefault="00407D23" w:rsidP="00407D23">
      <w:pPr>
        <w:pStyle w:val="ListBullet2"/>
        <w:ind w:left="340" w:hanging="340"/>
      </w:pPr>
      <w:r w:rsidRPr="00407D23">
        <w:t>Review our Risk Methodology and data requirements to inform our new CRMP, ensuring our risk analysis supports equality of access to our services for all the communities of Royal Berkshire.</w:t>
      </w:r>
    </w:p>
    <w:p w:rsidR="00407D23" w:rsidRPr="00C82906" w:rsidRDefault="00407D23" w:rsidP="00407D23">
      <w:pPr>
        <w:pStyle w:val="ListBullet2"/>
        <w:ind w:left="340" w:hanging="340"/>
      </w:pPr>
      <w:r w:rsidRPr="00407D23">
        <w:t>Deliver our action plan to align our analysis to the Fire Standard for Community Risk Management Plans.</w:t>
      </w:r>
    </w:p>
    <w:p w:rsidR="00407D23" w:rsidRPr="00407D23" w:rsidRDefault="00407D23" w:rsidP="00407D23">
      <w:pPr>
        <w:pStyle w:val="ListBullet2"/>
        <w:ind w:left="340" w:hanging="340"/>
      </w:pPr>
      <w:r w:rsidRPr="00407D23">
        <w:t xml:space="preserve">Develop and consult on a new Community Risk Management Plan to start in 2023. </w:t>
      </w:r>
    </w:p>
    <w:p w:rsidR="00407D23" w:rsidRPr="00407D23" w:rsidRDefault="00407D23" w:rsidP="00407D23">
      <w:pPr>
        <w:pStyle w:val="ListBullet2"/>
        <w:ind w:left="340" w:hanging="340"/>
      </w:pPr>
      <w:r w:rsidRPr="00407D23">
        <w:t xml:space="preserve">Provide </w:t>
      </w:r>
      <w:r w:rsidRPr="00407D23">
        <w:rPr>
          <w:rFonts w:ascii="Arial" w:eastAsia="Times New Roman" w:hAnsi="Arial" w:cs="Arial"/>
          <w:lang w:eastAsia="en-GB"/>
        </w:rPr>
        <w:t>a mapping capability</w:t>
      </w:r>
      <w:r w:rsidRPr="00407D23">
        <w:t xml:space="preserve"> to support local risk analysis.</w:t>
      </w:r>
    </w:p>
    <w:p w:rsidR="00407D23" w:rsidRPr="00407D23" w:rsidRDefault="00407D23" w:rsidP="00407D23">
      <w:pPr>
        <w:pStyle w:val="ListBullet2"/>
        <w:ind w:left="340" w:hanging="340"/>
      </w:pPr>
      <w:r w:rsidRPr="00407D23">
        <w:t>Analyse information about fire casualties to determine risk factors.</w:t>
      </w:r>
    </w:p>
    <w:p w:rsidR="00407D23" w:rsidRPr="00C82906" w:rsidRDefault="00407D23" w:rsidP="00407D23">
      <w:pPr>
        <w:pStyle w:val="ListBullet2"/>
        <w:ind w:left="340" w:hanging="340"/>
      </w:pPr>
      <w:r w:rsidRPr="00407D23">
        <w:t xml:space="preserve">Continue to engage with and drive the </w:t>
      </w:r>
      <w:hyperlink r:id="rId20" w:history="1">
        <w:r w:rsidRPr="00407D23">
          <w:t>National Fire Chiefs Council</w:t>
        </w:r>
      </w:hyperlink>
      <w:r w:rsidRPr="00C82906">
        <w:t xml:space="preserve"> </w:t>
      </w:r>
      <w:r w:rsidRPr="00407D23">
        <w:t>(NFCC) work to develop national best practice in risk analysis.</w:t>
      </w:r>
    </w:p>
    <w:p w:rsidR="00407D23" w:rsidRPr="00C82906" w:rsidRDefault="00407D23" w:rsidP="00407D23">
      <w:pPr>
        <w:pStyle w:val="NoSpacing"/>
        <w:spacing w:line="276" w:lineRule="auto"/>
        <w:rPr>
          <w:b/>
          <w:bCs/>
          <w:color w:val="FF0000"/>
          <w:sz w:val="20"/>
          <w:szCs w:val="20"/>
        </w:rPr>
      </w:pPr>
    </w:p>
    <w:p w:rsidR="00407D23" w:rsidRPr="00407D23" w:rsidRDefault="00407D23" w:rsidP="00407D23">
      <w:pPr>
        <w:pStyle w:val="Heading4"/>
        <w:rPr>
          <w:noProof w:val="0"/>
        </w:rPr>
      </w:pPr>
      <w:r w:rsidRPr="00407D23">
        <w:rPr>
          <w:noProof w:val="0"/>
        </w:rPr>
        <w:t>Project 2: Prevention</w:t>
      </w:r>
    </w:p>
    <w:p w:rsidR="00407D23" w:rsidRPr="00407D23" w:rsidRDefault="00407D23" w:rsidP="00407D23">
      <w:pPr>
        <w:pStyle w:val="ListBullet2"/>
        <w:ind w:left="340" w:hanging="340"/>
      </w:pPr>
      <w:r w:rsidRPr="00407D23">
        <w:t>Continue to work in collaboration with our Berkshire partners to identify the most vulnerable people in our society, increasing the numbers of Safe and Well Visits resulting from Referrals.</w:t>
      </w:r>
    </w:p>
    <w:p w:rsidR="00407D23" w:rsidRPr="00407D23" w:rsidRDefault="00407D23" w:rsidP="00407D23">
      <w:pPr>
        <w:pStyle w:val="ListBullet2"/>
        <w:ind w:left="340" w:hanging="340"/>
      </w:pPr>
      <w:r w:rsidRPr="00407D23">
        <w:t>Deliver and evaluate our new programme of follow up Safe and Well Visits to the most vulnerable.</w:t>
      </w:r>
    </w:p>
    <w:p w:rsidR="00407D23" w:rsidRPr="00407D23" w:rsidRDefault="00407D23" w:rsidP="00407D23">
      <w:pPr>
        <w:pStyle w:val="ListBullet2"/>
        <w:ind w:left="340" w:hanging="340"/>
      </w:pPr>
      <w:r w:rsidRPr="00407D23">
        <w:lastRenderedPageBreak/>
        <w:t xml:space="preserve">Focus our activities in support of Children and Young People through our road and water safety education programmes, Fire Cadets and </w:t>
      </w:r>
      <w:proofErr w:type="spellStart"/>
      <w:r w:rsidRPr="00407D23">
        <w:t>FireSafe</w:t>
      </w:r>
      <w:proofErr w:type="spellEnd"/>
      <w:r w:rsidRPr="00407D23">
        <w:t>.</w:t>
      </w:r>
    </w:p>
    <w:p w:rsidR="00407D23" w:rsidRPr="00407D23" w:rsidRDefault="00407D23" w:rsidP="00407D23">
      <w:pPr>
        <w:pStyle w:val="ListBullet2"/>
        <w:ind w:left="340" w:hanging="340"/>
      </w:pPr>
      <w:r w:rsidRPr="00407D23">
        <w:t>Carry out targeted road safety activity, including for motorcyclists and around smart motorways.</w:t>
      </w:r>
    </w:p>
    <w:p w:rsidR="00407D23" w:rsidRPr="00407D23" w:rsidRDefault="00407D23" w:rsidP="00407D23">
      <w:pPr>
        <w:pStyle w:val="ListBullet2"/>
        <w:ind w:left="340" w:hanging="340"/>
      </w:pPr>
      <w:r w:rsidRPr="00407D23">
        <w:t>Further develop local safety initiatives, campaigns and events to target risk at a local level and evaluate their effectiveness.</w:t>
      </w:r>
    </w:p>
    <w:p w:rsidR="00407D23" w:rsidRPr="00407D23" w:rsidRDefault="00407D23" w:rsidP="00407D23">
      <w:pPr>
        <w:pStyle w:val="ListBullet2"/>
        <w:ind w:left="340" w:hanging="340"/>
      </w:pPr>
      <w:r w:rsidRPr="00407D23">
        <w:t>Ensure a high standard of service through the quality assurance of our Prevention activities.</w:t>
      </w:r>
    </w:p>
    <w:p w:rsidR="00407D23" w:rsidRPr="00407D23" w:rsidRDefault="00407D23" w:rsidP="00407D23">
      <w:pPr>
        <w:pStyle w:val="ListBullet2"/>
        <w:ind w:left="340" w:hanging="340"/>
      </w:pPr>
      <w:r w:rsidRPr="00407D23">
        <w:t xml:space="preserve">Carry out a risk based review of Safe and Well Visit provision to be aligned with the development of our new CRMP. </w:t>
      </w:r>
    </w:p>
    <w:p w:rsidR="00407D23" w:rsidRPr="00C82906" w:rsidRDefault="00407D23" w:rsidP="00407D23">
      <w:pPr>
        <w:pStyle w:val="NoSpacing"/>
        <w:spacing w:line="276" w:lineRule="auto"/>
        <w:rPr>
          <w:b/>
          <w:bCs/>
          <w:color w:val="FF0000"/>
          <w:sz w:val="24"/>
          <w:szCs w:val="24"/>
        </w:rPr>
      </w:pPr>
    </w:p>
    <w:p w:rsidR="00407D23" w:rsidRPr="00407D23" w:rsidRDefault="00407D23" w:rsidP="00407D23">
      <w:pPr>
        <w:pStyle w:val="Heading4"/>
        <w:rPr>
          <w:noProof w:val="0"/>
        </w:rPr>
      </w:pPr>
      <w:r w:rsidRPr="00407D23">
        <w:rPr>
          <w:noProof w:val="0"/>
        </w:rPr>
        <w:t>Project 3: Protection</w:t>
      </w:r>
    </w:p>
    <w:p w:rsidR="00407D23" w:rsidRPr="00407D23" w:rsidRDefault="00407D23" w:rsidP="00407D23">
      <w:pPr>
        <w:pStyle w:val="ListBullet2"/>
        <w:ind w:left="340" w:hanging="340"/>
      </w:pPr>
      <w:r w:rsidRPr="00407D23">
        <w:t>Continue to develop and embed our new risk-based inspection programme to ensure that we are identifying and targeting our resources at the areas of highest risk, in line with our Protection Strategy.</w:t>
      </w:r>
    </w:p>
    <w:p w:rsidR="00407D23" w:rsidRPr="00407D23" w:rsidRDefault="00407D23" w:rsidP="00407D23">
      <w:pPr>
        <w:pStyle w:val="ListBullet2"/>
        <w:ind w:left="340" w:hanging="340"/>
      </w:pPr>
      <w:r w:rsidRPr="00407D23">
        <w:t>We will implement the learning from the phase one Grenfell Tower inquiry.</w:t>
      </w:r>
    </w:p>
    <w:p w:rsidR="00407D23" w:rsidRPr="00407D23" w:rsidRDefault="00407D23" w:rsidP="00407D23">
      <w:pPr>
        <w:pStyle w:val="ListBullet2"/>
        <w:ind w:left="340" w:hanging="340"/>
      </w:pPr>
      <w:r w:rsidRPr="00407D23">
        <w:t>Ensure a high standard of service through the quality assurance of our Protection activities.</w:t>
      </w:r>
    </w:p>
    <w:p w:rsidR="00407D23" w:rsidRPr="00C82906" w:rsidRDefault="00407D23" w:rsidP="00407D23">
      <w:pPr>
        <w:pStyle w:val="NoSpacing"/>
        <w:spacing w:line="276" w:lineRule="auto"/>
        <w:rPr>
          <w:color w:val="FF0000"/>
          <w:sz w:val="24"/>
          <w:szCs w:val="24"/>
        </w:rPr>
      </w:pPr>
    </w:p>
    <w:p w:rsidR="00407D23" w:rsidRPr="00407D23" w:rsidRDefault="00407D23" w:rsidP="00407D23">
      <w:pPr>
        <w:pStyle w:val="Heading4"/>
        <w:rPr>
          <w:noProof w:val="0"/>
        </w:rPr>
      </w:pPr>
      <w:r w:rsidRPr="00407D23">
        <w:rPr>
          <w:noProof w:val="0"/>
        </w:rPr>
        <w:t>Project 4: Response Resource Deployment</w:t>
      </w:r>
    </w:p>
    <w:p w:rsidR="00407D23" w:rsidRPr="00407D23" w:rsidRDefault="00407D23" w:rsidP="00407D23">
      <w:pPr>
        <w:pStyle w:val="ListBullet2"/>
        <w:ind w:left="340" w:hanging="340"/>
      </w:pPr>
      <w:r w:rsidRPr="00407D23">
        <w:t>Continue to evaluate future developments in housing and infrastructure to ensure that our resource deployments match predicted future demands.</w:t>
      </w:r>
    </w:p>
    <w:p w:rsidR="00407D23" w:rsidRPr="00407D23" w:rsidRDefault="00407D23" w:rsidP="00407D23">
      <w:pPr>
        <w:pStyle w:val="ListBullet2"/>
        <w:ind w:left="340" w:hanging="340"/>
      </w:pPr>
      <w:r w:rsidRPr="00407D23">
        <w:t>As set out in our Response Strategy, continue the review of our specialist water rescue capabilities to be aligned to local risk and reflect national best practice.</w:t>
      </w:r>
    </w:p>
    <w:p w:rsidR="00407D23" w:rsidRPr="00407D23" w:rsidRDefault="00407D23" w:rsidP="00407D23">
      <w:pPr>
        <w:pStyle w:val="ListBullet2"/>
        <w:ind w:left="340" w:hanging="340"/>
      </w:pPr>
      <w:r w:rsidRPr="00407D23">
        <w:t>Improve and evaluate our ability to respond to risk in the West of the county through effective targeting of our Prevention and Protection activity.</w:t>
      </w:r>
    </w:p>
    <w:p w:rsidR="00407D23" w:rsidRPr="00407D23" w:rsidRDefault="00407D23" w:rsidP="00407D23">
      <w:pPr>
        <w:pStyle w:val="ListBullet2"/>
        <w:ind w:left="340" w:hanging="340"/>
      </w:pPr>
      <w:r w:rsidRPr="00407D23">
        <w:t>Undertake incident support and technical capability reviews as part of the risk analysis element of the development of the new CRMP.</w:t>
      </w:r>
    </w:p>
    <w:p w:rsidR="002150D1" w:rsidRDefault="002150D1">
      <w:pPr>
        <w:rPr>
          <w:rFonts w:ascii="Arial" w:eastAsia="Times New Roman" w:hAnsi="Arial" w:cs="Arial"/>
          <w:lang w:eastAsia="en-GB"/>
        </w:rPr>
      </w:pPr>
      <w:r>
        <w:br w:type="page"/>
      </w:r>
    </w:p>
    <w:p w:rsidR="00407D23" w:rsidRPr="00C82906" w:rsidRDefault="00407D23" w:rsidP="00407D23">
      <w:pPr>
        <w:pStyle w:val="NoSpacing"/>
        <w:spacing w:line="276" w:lineRule="auto"/>
        <w:rPr>
          <w:sz w:val="24"/>
          <w:szCs w:val="24"/>
        </w:rPr>
      </w:pPr>
    </w:p>
    <w:p w:rsidR="00407D23" w:rsidRPr="00407D23" w:rsidRDefault="00407D23" w:rsidP="00407D23">
      <w:pPr>
        <w:pStyle w:val="Heading4"/>
        <w:rPr>
          <w:noProof w:val="0"/>
        </w:rPr>
      </w:pPr>
      <w:r w:rsidRPr="00407D23">
        <w:rPr>
          <w:noProof w:val="0"/>
        </w:rPr>
        <w:t>Project 5: Response Safe Systems of Work Development</w:t>
      </w:r>
    </w:p>
    <w:p w:rsidR="00407D23" w:rsidRPr="00407D23" w:rsidRDefault="00407D23" w:rsidP="00407D23">
      <w:pPr>
        <w:pStyle w:val="ListBullet2"/>
        <w:ind w:left="340" w:hanging="340"/>
      </w:pPr>
      <w:r w:rsidRPr="00407D23">
        <w:t>Work with the NFCC and other key stakeholders to adopt new technologies, which support effective and efficient safe systems of work.</w:t>
      </w:r>
    </w:p>
    <w:p w:rsidR="00407D23" w:rsidRPr="00407D23" w:rsidRDefault="00407D23" w:rsidP="00407D23">
      <w:pPr>
        <w:pStyle w:val="ListBullet2"/>
        <w:ind w:left="340" w:hanging="340"/>
      </w:pPr>
      <w:r w:rsidRPr="00407D23">
        <w:t>Continue to clarify and prioritise next steps in the digital transformation journey as part of our Technology roadmap.</w:t>
      </w:r>
    </w:p>
    <w:p w:rsidR="00407D23" w:rsidRDefault="00407D23" w:rsidP="00407D23">
      <w:pPr>
        <w:pStyle w:val="ListBullet2"/>
        <w:ind w:left="340" w:hanging="340"/>
      </w:pPr>
      <w:r w:rsidRPr="00407D23">
        <w:t>Continue our investment of resource and expertise in the Thames Valley Breathing Apparatus Replacement project, conducting an effective and efficient joint procurement prior to implementation.</w:t>
      </w:r>
    </w:p>
    <w:p w:rsidR="00407D23" w:rsidRDefault="00407D23" w:rsidP="00407D23">
      <w:r>
        <w:br w:type="page"/>
      </w:r>
    </w:p>
    <w:p w:rsidR="00407D23" w:rsidRPr="00407D23" w:rsidRDefault="00407D23" w:rsidP="00407D23">
      <w:pPr>
        <w:pStyle w:val="Heading2"/>
        <w:rPr>
          <w:noProof w:val="0"/>
        </w:rPr>
      </w:pPr>
      <w:bookmarkStart w:id="14" w:name="_Toc103861445"/>
      <w:r>
        <w:rPr>
          <w:noProof w:val="0"/>
        </w:rPr>
        <w:lastRenderedPageBreak/>
        <w:t>People Strategy</w:t>
      </w:r>
      <w:bookmarkEnd w:id="14"/>
    </w:p>
    <w:p w:rsidR="00407D23" w:rsidRPr="00407D23" w:rsidRDefault="00407D23" w:rsidP="00407D23">
      <w:r w:rsidRPr="00407D23">
        <w:t>The purpose of our</w:t>
      </w:r>
      <w:r>
        <w:rPr>
          <w:rFonts w:cs="Arial"/>
          <w:color w:val="595959"/>
        </w:rPr>
        <w:t xml:space="preserve"> </w:t>
      </w:r>
      <w:hyperlink r:id="rId21" w:history="1">
        <w:r>
          <w:rPr>
            <w:rStyle w:val="Hyperlink"/>
            <w:rFonts w:cs="Arial"/>
            <w:color w:val="0000FF"/>
          </w:rPr>
          <w:t>People Strategy</w:t>
        </w:r>
      </w:hyperlink>
      <w:r>
        <w:rPr>
          <w:rFonts w:cs="Arial"/>
        </w:rPr>
        <w:t xml:space="preserve"> </w:t>
      </w:r>
      <w:r w:rsidRPr="00407D23">
        <w:t xml:space="preserve">is to support RBFRS staff to become the best public servants they can be, creating a workforce that can deliver efficient and effective service on behalf of the Fire Authority, to manage all foreseeable fire and rescue related risks that could affect the people of Berkshire. Our People Strategy is currently in the process of being updated and will cover the period 2022-2025. Our expectation is that the 2022-2025 People Strategy will be finalised by the end of Quarter 1 2022/23. </w:t>
      </w:r>
    </w:p>
    <w:p w:rsidR="00407D23" w:rsidRDefault="00407D23">
      <w:r>
        <w:br w:type="page"/>
      </w:r>
    </w:p>
    <w:p w:rsidR="00407D23" w:rsidRPr="009254A8" w:rsidRDefault="00407D23" w:rsidP="009254A8">
      <w:pPr>
        <w:pStyle w:val="Heading1"/>
        <w:rPr>
          <w:noProof w:val="0"/>
        </w:rPr>
      </w:pPr>
      <w:bookmarkStart w:id="15" w:name="_Toc103861446"/>
      <w:r w:rsidRPr="00407D23">
        <w:rPr>
          <w:noProof w:val="0"/>
        </w:rPr>
        <w:lastRenderedPageBreak/>
        <w:t>R</w:t>
      </w:r>
      <w:r w:rsidR="00F777ED">
        <w:rPr>
          <w:noProof w:val="0"/>
        </w:rPr>
        <w:t>isk</w:t>
      </w:r>
      <w:bookmarkEnd w:id="15"/>
    </w:p>
    <w:p w:rsidR="00407D23" w:rsidRPr="00407D23" w:rsidRDefault="00407D23" w:rsidP="00407D23">
      <w:pPr>
        <w:pStyle w:val="Heading3"/>
        <w:rPr>
          <w:noProof w:val="0"/>
        </w:rPr>
      </w:pPr>
      <w:bookmarkStart w:id="16" w:name="_Toc103861447"/>
      <w:r w:rsidRPr="00407D23">
        <w:rPr>
          <w:noProof w:val="0"/>
        </w:rPr>
        <w:t>Corporate Risk Register</w:t>
      </w:r>
      <w:bookmarkEnd w:id="16"/>
    </w:p>
    <w:p w:rsidR="00407D23" w:rsidRPr="00407D23" w:rsidRDefault="00407D23" w:rsidP="00407D23">
      <w:pPr>
        <w:pStyle w:val="NoSpacing"/>
        <w:spacing w:line="276" w:lineRule="auto"/>
        <w:rPr>
          <w:rFonts w:asciiTheme="minorHAnsi" w:eastAsiaTheme="minorHAnsi" w:hAnsiTheme="minorHAnsi" w:cstheme="minorBidi"/>
          <w:sz w:val="24"/>
          <w:szCs w:val="24"/>
          <w:lang w:eastAsia="en-US"/>
        </w:rPr>
      </w:pPr>
      <w:r w:rsidRPr="00407D23">
        <w:rPr>
          <w:rFonts w:asciiTheme="minorHAnsi" w:eastAsiaTheme="minorHAnsi" w:hAnsiTheme="minorHAnsi" w:cstheme="minorBidi"/>
          <w:sz w:val="24"/>
          <w:szCs w:val="24"/>
          <w:lang w:eastAsia="en-US"/>
        </w:rPr>
        <w:t>Achievement of the objectives set is influenced by a number of internal and external factors, which in turn create a level of uncertainty and risk. RBFRS has developed a comprehensive Organisational Risk Management Policy, along with a framework for monitoring and managing risks and uncertainties to ensure that organisational objectives can be achieved.</w:t>
      </w:r>
    </w:p>
    <w:p w:rsidR="00407D23" w:rsidRPr="00407D23" w:rsidRDefault="00407D23" w:rsidP="00407D23">
      <w:pPr>
        <w:pStyle w:val="NoSpacing"/>
        <w:spacing w:line="276" w:lineRule="auto"/>
        <w:rPr>
          <w:rFonts w:asciiTheme="minorHAnsi" w:eastAsiaTheme="minorHAnsi" w:hAnsiTheme="minorHAnsi" w:cstheme="minorBidi"/>
          <w:sz w:val="24"/>
          <w:szCs w:val="24"/>
          <w:lang w:eastAsia="en-US"/>
        </w:rPr>
      </w:pPr>
    </w:p>
    <w:p w:rsidR="00407D23" w:rsidRPr="00407D23" w:rsidRDefault="00407D23" w:rsidP="00407D23">
      <w:pPr>
        <w:pStyle w:val="NoSpacing"/>
        <w:spacing w:line="276" w:lineRule="auto"/>
        <w:rPr>
          <w:rFonts w:asciiTheme="minorHAnsi" w:eastAsiaTheme="minorHAnsi" w:hAnsiTheme="minorHAnsi" w:cstheme="minorBidi"/>
          <w:sz w:val="24"/>
          <w:szCs w:val="24"/>
          <w:lang w:eastAsia="en-US"/>
        </w:rPr>
      </w:pPr>
      <w:r w:rsidRPr="00407D23">
        <w:rPr>
          <w:rFonts w:asciiTheme="minorHAnsi" w:eastAsiaTheme="minorHAnsi" w:hAnsiTheme="minorHAnsi" w:cstheme="minorBidi"/>
          <w:sz w:val="24"/>
          <w:szCs w:val="24"/>
          <w:lang w:eastAsia="en-US"/>
        </w:rPr>
        <w:t xml:space="preserve">Each risk, including one-off project risks, is scored on a Matrix (1-25) and recorded on the Risk Register. All strategic risks, and any project or service plan risks with a current score of 17 or above, are escalated to the Corporate Risk Register, monitored monthly by the Senior Leadership Team and reported to the Audit and Governance Committee on a quarterly basis. One or more treatments will be identified to minimise the likelihood or impact of the risk and the risk will be reviewed regularly to monitor progress. </w:t>
      </w:r>
    </w:p>
    <w:p w:rsidR="00407D23" w:rsidRPr="00407D23" w:rsidRDefault="00407D23" w:rsidP="00407D23">
      <w:pPr>
        <w:pStyle w:val="NoSpacing"/>
        <w:spacing w:line="276" w:lineRule="auto"/>
        <w:rPr>
          <w:rFonts w:asciiTheme="minorHAnsi" w:eastAsiaTheme="minorHAnsi" w:hAnsiTheme="minorHAnsi" w:cstheme="minorBidi"/>
          <w:sz w:val="24"/>
          <w:szCs w:val="24"/>
          <w:lang w:eastAsia="en-US"/>
        </w:rPr>
      </w:pPr>
    </w:p>
    <w:p w:rsidR="00407D23" w:rsidRPr="00017432" w:rsidRDefault="00407D23" w:rsidP="00407D23">
      <w:pPr>
        <w:pStyle w:val="NoSpacing"/>
        <w:spacing w:line="276" w:lineRule="auto"/>
        <w:rPr>
          <w:sz w:val="24"/>
          <w:szCs w:val="24"/>
        </w:rPr>
      </w:pPr>
      <w:r w:rsidRPr="00407D23">
        <w:rPr>
          <w:rFonts w:asciiTheme="minorHAnsi" w:eastAsiaTheme="minorHAnsi" w:hAnsiTheme="minorHAnsi" w:cstheme="minorBidi"/>
          <w:sz w:val="24"/>
          <w:szCs w:val="24"/>
          <w:lang w:eastAsia="en-US"/>
        </w:rPr>
        <w:t>The Organisational Risk Management Policy does not address health and safety risk or community risk. These are addressed separately through both occupational health and safety management and the CRMP Programme. Further detail and information on the CRMP process can be found in the</w:t>
      </w:r>
      <w:r w:rsidRPr="00017432">
        <w:rPr>
          <w:color w:val="595959" w:themeColor="text1" w:themeTint="A6"/>
          <w:sz w:val="24"/>
          <w:szCs w:val="24"/>
        </w:rPr>
        <w:t xml:space="preserve"> </w:t>
      </w:r>
      <w:hyperlink r:id="rId22" w:history="1">
        <w:r w:rsidRPr="00017432">
          <w:rPr>
            <w:rStyle w:val="Hyperlink"/>
            <w:sz w:val="24"/>
            <w:szCs w:val="24"/>
          </w:rPr>
          <w:t>Corporate Plan and IRMP 2019-2023</w:t>
        </w:r>
      </w:hyperlink>
      <w:r w:rsidRPr="00017432">
        <w:rPr>
          <w:sz w:val="24"/>
          <w:szCs w:val="24"/>
        </w:rPr>
        <w:t xml:space="preserve">. </w:t>
      </w:r>
      <w:r w:rsidRPr="00407D23">
        <w:rPr>
          <w:rFonts w:asciiTheme="minorHAnsi" w:eastAsiaTheme="minorHAnsi" w:hAnsiTheme="minorHAnsi" w:cstheme="minorBidi"/>
          <w:sz w:val="24"/>
          <w:szCs w:val="24"/>
          <w:lang w:eastAsia="en-US"/>
        </w:rPr>
        <w:t>A summary of the Corporate Risk Register is available in the quarterly Strategic Performance Report and updated on a quarterly basis at</w:t>
      </w:r>
      <w:r w:rsidRPr="00017432">
        <w:rPr>
          <w:sz w:val="24"/>
          <w:szCs w:val="24"/>
        </w:rPr>
        <w:t xml:space="preserve"> </w:t>
      </w:r>
      <w:hyperlink r:id="rId23" w:history="1">
        <w:r w:rsidRPr="00017432">
          <w:rPr>
            <w:rStyle w:val="Hyperlink"/>
            <w:sz w:val="24"/>
            <w:szCs w:val="24"/>
          </w:rPr>
          <w:t>rbfrs.co.uk</w:t>
        </w:r>
        <w:r w:rsidRPr="00017432">
          <w:rPr>
            <w:sz w:val="24"/>
            <w:szCs w:val="24"/>
          </w:rPr>
          <w:t>.</w:t>
        </w:r>
      </w:hyperlink>
    </w:p>
    <w:p w:rsidR="00407D23" w:rsidRDefault="00407D23">
      <w:r>
        <w:br w:type="page"/>
      </w:r>
    </w:p>
    <w:p w:rsidR="00407D23" w:rsidRPr="00407D23" w:rsidRDefault="00407D23" w:rsidP="00407D23">
      <w:pPr>
        <w:pStyle w:val="Heading1"/>
        <w:rPr>
          <w:noProof w:val="0"/>
        </w:rPr>
      </w:pPr>
      <w:bookmarkStart w:id="17" w:name="_Toc103861448"/>
      <w:r w:rsidRPr="00407D23">
        <w:rPr>
          <w:noProof w:val="0"/>
        </w:rPr>
        <w:lastRenderedPageBreak/>
        <w:t>A</w:t>
      </w:r>
      <w:r w:rsidR="00F777ED">
        <w:rPr>
          <w:noProof w:val="0"/>
        </w:rPr>
        <w:t>ssurance</w:t>
      </w:r>
      <w:bookmarkEnd w:id="17"/>
    </w:p>
    <w:p w:rsidR="00407D23" w:rsidRPr="00407D23" w:rsidRDefault="00407D23" w:rsidP="00407D23">
      <w:pPr>
        <w:pStyle w:val="Heading3"/>
        <w:rPr>
          <w:noProof w:val="0"/>
        </w:rPr>
      </w:pPr>
      <w:bookmarkStart w:id="18" w:name="_Toc103861449"/>
      <w:r w:rsidRPr="00407D23">
        <w:rPr>
          <w:noProof w:val="0"/>
        </w:rPr>
        <w:t>Audit Plan</w:t>
      </w:r>
      <w:bookmarkEnd w:id="18"/>
      <w:r w:rsidRPr="00407D23">
        <w:rPr>
          <w:noProof w:val="0"/>
        </w:rPr>
        <w:t xml:space="preserve"> </w:t>
      </w:r>
    </w:p>
    <w:p w:rsidR="00407D23" w:rsidRPr="00F777ED" w:rsidRDefault="00407D23" w:rsidP="00407D23">
      <w:pPr>
        <w:pStyle w:val="NoSpacing"/>
        <w:spacing w:line="276" w:lineRule="auto"/>
        <w:ind w:right="-113"/>
        <w:rPr>
          <w:rFonts w:asciiTheme="minorHAnsi" w:eastAsiaTheme="minorHAnsi" w:hAnsiTheme="minorHAnsi" w:cstheme="minorBidi"/>
          <w:sz w:val="24"/>
          <w:szCs w:val="24"/>
          <w:lang w:eastAsia="en-US"/>
        </w:rPr>
      </w:pPr>
      <w:r w:rsidRPr="00F777ED">
        <w:rPr>
          <w:rFonts w:asciiTheme="minorHAnsi" w:eastAsiaTheme="minorHAnsi" w:hAnsiTheme="minorHAnsi" w:cstheme="minorBidi"/>
          <w:sz w:val="24"/>
          <w:szCs w:val="24"/>
          <w:lang w:eastAsia="en-US"/>
        </w:rPr>
        <w:t>Audits are an important part of providing the Fire Authority and the public with the assurance that the Service is run properly and in ways that have been agreed by our Officers and Members. They demonstrate that the business is conducted in accordance with relevant legislation, government expectations, good practice and organisational policy. The audits contribute towards the annual Statement of Assurance.</w:t>
      </w:r>
    </w:p>
    <w:p w:rsidR="00407D23" w:rsidRPr="005D518D" w:rsidRDefault="00407D23" w:rsidP="00407D23">
      <w:pPr>
        <w:pStyle w:val="NoSpacing"/>
        <w:spacing w:line="276" w:lineRule="auto"/>
        <w:ind w:right="-113"/>
        <w:rPr>
          <w:rStyle w:val="Hyperlink"/>
          <w:color w:val="595959" w:themeColor="text1" w:themeTint="A6"/>
          <w:sz w:val="16"/>
          <w:szCs w:val="16"/>
        </w:rPr>
      </w:pPr>
    </w:p>
    <w:p w:rsidR="00407D23" w:rsidRPr="00F777ED" w:rsidRDefault="00407D23" w:rsidP="00407D23">
      <w:pPr>
        <w:pStyle w:val="NoSpacing"/>
        <w:spacing w:line="276" w:lineRule="auto"/>
        <w:ind w:right="-113"/>
        <w:rPr>
          <w:rFonts w:asciiTheme="minorHAnsi" w:eastAsiaTheme="minorHAnsi" w:hAnsiTheme="minorHAnsi" w:cstheme="minorBidi"/>
          <w:sz w:val="24"/>
          <w:szCs w:val="24"/>
          <w:lang w:eastAsia="en-US"/>
        </w:rPr>
      </w:pPr>
      <w:r w:rsidRPr="00F777ED">
        <w:rPr>
          <w:rFonts w:asciiTheme="minorHAnsi" w:eastAsiaTheme="minorHAnsi" w:hAnsiTheme="minorHAnsi" w:cstheme="minorBidi"/>
          <w:sz w:val="24"/>
          <w:szCs w:val="24"/>
          <w:lang w:eastAsia="en-US"/>
        </w:rPr>
        <w:t>Our Internal Annual Audit Plan is developed in collaboration with our auditors, RSM, and approved by the Audit and Governance Committee at the start of the year. Each audit is linked to a risk on our Corporate Risk Register. The audits agreed for 2022/23 are:</w:t>
      </w:r>
    </w:p>
    <w:p w:rsidR="00407D23" w:rsidRPr="00F777ED" w:rsidRDefault="00407D23" w:rsidP="00407D23">
      <w:pPr>
        <w:pStyle w:val="NoSpacing"/>
        <w:spacing w:line="276" w:lineRule="auto"/>
        <w:ind w:right="-113"/>
        <w:rPr>
          <w:rFonts w:asciiTheme="minorHAnsi" w:eastAsiaTheme="minorHAnsi" w:hAnsiTheme="minorHAnsi" w:cstheme="minorBidi"/>
          <w:lang w:eastAsia="en-US"/>
        </w:rPr>
      </w:pPr>
    </w:p>
    <w:p w:rsidR="00407D23" w:rsidRPr="00F777ED" w:rsidRDefault="00407D23" w:rsidP="00F777ED">
      <w:pPr>
        <w:pStyle w:val="ListBullet2"/>
        <w:ind w:left="426"/>
      </w:pPr>
      <w:r w:rsidRPr="00F777ED">
        <w:t>West Yorkshire Pension Fund</w:t>
      </w:r>
    </w:p>
    <w:p w:rsidR="00407D23" w:rsidRPr="00F777ED" w:rsidRDefault="00407D23" w:rsidP="00F777ED">
      <w:pPr>
        <w:pStyle w:val="ListBullet2"/>
        <w:ind w:left="426"/>
      </w:pPr>
      <w:r w:rsidRPr="00F777ED">
        <w:t xml:space="preserve">Payroll Provider - </w:t>
      </w:r>
      <w:proofErr w:type="spellStart"/>
      <w:r w:rsidRPr="00F777ED">
        <w:t>Dataplan</w:t>
      </w:r>
      <w:proofErr w:type="spellEnd"/>
    </w:p>
    <w:p w:rsidR="00407D23" w:rsidRPr="00F777ED" w:rsidRDefault="00407D23" w:rsidP="00F777ED">
      <w:pPr>
        <w:pStyle w:val="ListBullet2"/>
        <w:ind w:left="426"/>
      </w:pPr>
      <w:r w:rsidRPr="00F777ED">
        <w:t>Risk Management and Governance</w:t>
      </w:r>
    </w:p>
    <w:p w:rsidR="00407D23" w:rsidRPr="00F777ED" w:rsidRDefault="00407D23" w:rsidP="00F777ED">
      <w:pPr>
        <w:pStyle w:val="ListBullet2"/>
        <w:ind w:left="426"/>
      </w:pPr>
      <w:r w:rsidRPr="00F777ED">
        <w:t>Key Financial Controls</w:t>
      </w:r>
    </w:p>
    <w:p w:rsidR="00407D23" w:rsidRPr="00F777ED" w:rsidRDefault="00407D23" w:rsidP="00F777ED">
      <w:pPr>
        <w:pStyle w:val="ListBullet2"/>
        <w:ind w:left="426"/>
      </w:pPr>
      <w:r w:rsidRPr="00F777ED">
        <w:t>Cyber Security</w:t>
      </w:r>
    </w:p>
    <w:p w:rsidR="00407D23" w:rsidRPr="00F777ED" w:rsidRDefault="00407D23" w:rsidP="00F777ED">
      <w:pPr>
        <w:pStyle w:val="ListBullet2"/>
        <w:ind w:left="426"/>
      </w:pPr>
      <w:r w:rsidRPr="00F777ED">
        <w:t xml:space="preserve">Health &amp; Safety and Mandatory Training </w:t>
      </w:r>
    </w:p>
    <w:p w:rsidR="00407D23" w:rsidRPr="00F777ED" w:rsidRDefault="00407D23" w:rsidP="00F777ED">
      <w:pPr>
        <w:pStyle w:val="ListBullet2"/>
        <w:ind w:left="426"/>
      </w:pPr>
      <w:r w:rsidRPr="00F777ED">
        <w:t>Facilities Management</w:t>
      </w:r>
    </w:p>
    <w:p w:rsidR="00407D23" w:rsidRPr="00F777ED" w:rsidRDefault="00407D23" w:rsidP="00F777ED">
      <w:pPr>
        <w:pStyle w:val="ListBullet2"/>
        <w:ind w:left="426"/>
      </w:pPr>
      <w:r w:rsidRPr="00F777ED">
        <w:t>Grenfell Action plans</w:t>
      </w:r>
    </w:p>
    <w:p w:rsidR="00407D23" w:rsidRPr="00017432" w:rsidRDefault="00407D23" w:rsidP="00407D23">
      <w:pPr>
        <w:pStyle w:val="NoSpacing"/>
        <w:spacing w:line="276" w:lineRule="auto"/>
        <w:ind w:right="-113"/>
        <w:rPr>
          <w:rFonts w:ascii="Times New Roman" w:hAnsi="Times New Roman" w:cs="Times New Roman"/>
          <w:sz w:val="24"/>
          <w:szCs w:val="24"/>
          <w:highlight w:val="yellow"/>
        </w:rPr>
      </w:pPr>
    </w:p>
    <w:p w:rsidR="00407D23" w:rsidRPr="00407D23" w:rsidRDefault="00407D23" w:rsidP="00407D23">
      <w:pPr>
        <w:pStyle w:val="Heading3"/>
        <w:rPr>
          <w:noProof w:val="0"/>
        </w:rPr>
      </w:pPr>
      <w:bookmarkStart w:id="19" w:name="_Toc103861450"/>
      <w:r w:rsidRPr="00407D23">
        <w:rPr>
          <w:noProof w:val="0"/>
        </w:rPr>
        <w:t>Statement of Assurance</w:t>
      </w:r>
      <w:bookmarkEnd w:id="19"/>
    </w:p>
    <w:p w:rsidR="00407D23" w:rsidRPr="00407D23" w:rsidRDefault="00407D23" w:rsidP="00407D23">
      <w:pPr>
        <w:pStyle w:val="ListBullet2"/>
        <w:numPr>
          <w:ilvl w:val="0"/>
          <w:numId w:val="0"/>
        </w:numPr>
      </w:pPr>
      <w:r w:rsidRPr="00F777ED">
        <w:t>The RBFRS annual</w:t>
      </w:r>
      <w:r w:rsidRPr="007016CE">
        <w:rPr>
          <w:color w:val="595959" w:themeColor="text1" w:themeTint="A6"/>
        </w:rPr>
        <w:t xml:space="preserve"> </w:t>
      </w:r>
      <w:hyperlink r:id="rId24" w:history="1">
        <w:r w:rsidRPr="007016CE">
          <w:rPr>
            <w:rStyle w:val="Hyperlink"/>
          </w:rPr>
          <w:t>Statement of Assurance</w:t>
        </w:r>
      </w:hyperlink>
      <w:r w:rsidRPr="007016CE">
        <w:rPr>
          <w:color w:val="0000FF"/>
        </w:rPr>
        <w:t xml:space="preserve"> </w:t>
      </w:r>
      <w:r w:rsidRPr="00F777ED">
        <w:t>is available on the RBFRS website. The Statement is produced on an annual basis to formally confirm to Government, stakeholders and the communities we serve that there are adequate arrangements for the effective management of financial, governance and operational matters in RBFRS. The Statement confirms the extent to which the requirements of the</w:t>
      </w:r>
      <w:r w:rsidRPr="007016CE">
        <w:rPr>
          <w:color w:val="595959" w:themeColor="text1" w:themeTint="A6"/>
        </w:rPr>
        <w:t xml:space="preserve"> </w:t>
      </w:r>
      <w:hyperlink r:id="rId25" w:history="1">
        <w:r w:rsidRPr="007016CE">
          <w:rPr>
            <w:rStyle w:val="Hyperlink"/>
          </w:rPr>
          <w:t>Fire and Rescue National Framework for England</w:t>
        </w:r>
      </w:hyperlink>
      <w:r w:rsidRPr="007016CE">
        <w:t xml:space="preserve"> </w:t>
      </w:r>
      <w:r w:rsidRPr="00F777ED">
        <w:t>have been met. This includes information about our assurance arrangements regarding Prevention, Protection and Response and how we ensure local and national resilience.</w:t>
      </w:r>
    </w:p>
    <w:p w:rsidR="00F777ED" w:rsidRPr="00F777ED" w:rsidRDefault="00F777ED" w:rsidP="00F777ED">
      <w:pPr>
        <w:pStyle w:val="Heading1"/>
        <w:rPr>
          <w:noProof w:val="0"/>
        </w:rPr>
      </w:pPr>
      <w:bookmarkStart w:id="20" w:name="_Toc103861451"/>
      <w:r w:rsidRPr="00F777ED">
        <w:rPr>
          <w:noProof w:val="0"/>
        </w:rPr>
        <w:lastRenderedPageBreak/>
        <w:t>H</w:t>
      </w:r>
      <w:r>
        <w:rPr>
          <w:noProof w:val="0"/>
        </w:rPr>
        <w:t xml:space="preserve">er Majesty’s Inspectorate of Constabulary and Fire and Rescue Services </w:t>
      </w:r>
      <w:r w:rsidRPr="00F777ED">
        <w:rPr>
          <w:noProof w:val="0"/>
        </w:rPr>
        <w:t>(HMICFRS)</w:t>
      </w:r>
      <w:bookmarkEnd w:id="20"/>
    </w:p>
    <w:p w:rsidR="00F777ED" w:rsidRPr="00017432" w:rsidRDefault="00F777ED" w:rsidP="00F777ED">
      <w:pPr>
        <w:pStyle w:val="Head1RBFRS"/>
        <w:spacing w:after="0"/>
        <w:rPr>
          <w:color w:val="E2241D"/>
        </w:rPr>
      </w:pPr>
    </w:p>
    <w:p w:rsidR="00F777ED" w:rsidRPr="00017432" w:rsidRDefault="00F777ED" w:rsidP="00F777ED">
      <w:pPr>
        <w:spacing w:after="0"/>
        <w:rPr>
          <w:rFonts w:cs="Arial"/>
          <w:color w:val="595959" w:themeColor="text1" w:themeTint="A6"/>
        </w:rPr>
      </w:pPr>
      <w:r w:rsidRPr="00F777ED">
        <w:t>In 2018/19, we were inspected for the first time by her Majesty’s Inspectorate of Constabulary and Fire and Rescue Services (HMICFRS). Through the inspection process, we were able to gain external, independent, assurance in relation to the effectiveness and efficiency of our operational response. The results were published in June 2019, and it should be noted that Royal Berkshire Fire and Rescue Service was judged as ‘good’ across the three main pillars of ‘Effectiveness’, ‘Efficiency’ and ‘People’. The report for RBFRS can be found</w:t>
      </w:r>
      <w:r w:rsidRPr="00017432">
        <w:rPr>
          <w:rFonts w:eastAsia="Calibri" w:cs="Arial"/>
          <w:color w:val="595959" w:themeColor="text1" w:themeTint="A6"/>
        </w:rPr>
        <w:t xml:space="preserve"> </w:t>
      </w:r>
      <w:hyperlink r:id="rId26" w:history="1">
        <w:r w:rsidRPr="005B5F89">
          <w:rPr>
            <w:rFonts w:eastAsia="Calibri" w:cs="Arial"/>
            <w:color w:val="0000FF"/>
            <w:u w:val="single"/>
          </w:rPr>
          <w:t>here.</w:t>
        </w:r>
      </w:hyperlink>
      <w:r w:rsidRPr="00017432">
        <w:rPr>
          <w:rFonts w:cs="Arial"/>
          <w:color w:val="595959" w:themeColor="text1" w:themeTint="A6"/>
        </w:rPr>
        <w:t xml:space="preserve"> </w:t>
      </w:r>
      <w:r w:rsidRPr="00F777ED">
        <w:t xml:space="preserve">The next round of inspections are underway with RBFRS being inspected in </w:t>
      </w:r>
      <w:proofErr w:type="gramStart"/>
      <w:r w:rsidRPr="00F777ED">
        <w:t>Summer</w:t>
      </w:r>
      <w:proofErr w:type="gramEnd"/>
      <w:r w:rsidRPr="00F777ED">
        <w:t xml:space="preserve"> 2022. For more information on the inspection of Fire and Rescue Services, please visit the HMICFRS</w:t>
      </w:r>
      <w:r w:rsidRPr="00017432">
        <w:rPr>
          <w:rFonts w:eastAsia="Times New Roman" w:cs="Arial"/>
          <w:color w:val="595959" w:themeColor="text1" w:themeTint="A6"/>
          <w:lang w:eastAsia="en-GB"/>
        </w:rPr>
        <w:t xml:space="preserve"> </w:t>
      </w:r>
      <w:hyperlink r:id="rId27" w:history="1">
        <w:r w:rsidRPr="005B5F89">
          <w:rPr>
            <w:rFonts w:eastAsia="Times New Roman" w:cs="Arial"/>
            <w:color w:val="0000FF"/>
            <w:u w:val="single"/>
            <w:lang w:eastAsia="en-GB"/>
          </w:rPr>
          <w:t>website</w:t>
        </w:r>
      </w:hyperlink>
      <w:r w:rsidRPr="005B5F89">
        <w:rPr>
          <w:rFonts w:eastAsia="Times New Roman" w:cs="Arial"/>
          <w:color w:val="0000FF"/>
          <w:u w:val="single"/>
          <w:lang w:eastAsia="en-GB"/>
        </w:rPr>
        <w:t>.</w:t>
      </w:r>
    </w:p>
    <w:p w:rsidR="00F777ED" w:rsidRDefault="00F777ED">
      <w:pPr>
        <w:rPr>
          <w:rFonts w:asciiTheme="majorHAnsi" w:eastAsiaTheme="majorEastAsia" w:hAnsiTheme="majorHAnsi" w:cstheme="majorBidi"/>
          <w:b/>
          <w:noProof/>
          <w:sz w:val="64"/>
          <w:szCs w:val="32"/>
        </w:rPr>
      </w:pPr>
    </w:p>
    <w:p w:rsidR="00407D23" w:rsidRDefault="005A7712" w:rsidP="00407D23">
      <w:pPr>
        <w:pStyle w:val="Heading1"/>
        <w:rPr>
          <w:noProof w:val="0"/>
        </w:rPr>
      </w:pPr>
      <w:r>
        <w:br w:type="page"/>
      </w:r>
      <w:bookmarkStart w:id="21" w:name="_Toc103861452"/>
      <w:r w:rsidR="00F777ED">
        <w:rPr>
          <w:noProof w:val="0"/>
        </w:rPr>
        <w:lastRenderedPageBreak/>
        <w:t>Appendix A: Measure Definitions</w:t>
      </w:r>
      <w:bookmarkEnd w:id="21"/>
    </w:p>
    <w:p w:rsidR="00CD1882" w:rsidRPr="00CD1882" w:rsidRDefault="00CD1882" w:rsidP="00CD1882">
      <w:pPr>
        <w:rPr>
          <w:rFonts w:cstheme="minorHAnsi"/>
          <w:b/>
          <w:sz w:val="40"/>
          <w:szCs w:val="40"/>
        </w:rPr>
      </w:pPr>
      <w:r w:rsidRPr="00CD1882">
        <w:rPr>
          <w:rFonts w:cstheme="minorHAnsi"/>
          <w:b/>
          <w:sz w:val="40"/>
          <w:szCs w:val="40"/>
        </w:rPr>
        <w:t>Service Delivery</w:t>
      </w:r>
    </w:p>
    <w:tbl>
      <w:tblPr>
        <w:tblW w:w="10470" w:type="dxa"/>
        <w:tblLayout w:type="fixed"/>
        <w:tblCellMar>
          <w:top w:w="57" w:type="dxa"/>
          <w:left w:w="28" w:type="dxa"/>
          <w:bottom w:w="57" w:type="dxa"/>
          <w:right w:w="57" w:type="dxa"/>
        </w:tblCellMar>
        <w:tblLook w:val="0000" w:firstRow="0" w:lastRow="0" w:firstColumn="0" w:lastColumn="0" w:noHBand="0" w:noVBand="0"/>
      </w:tblPr>
      <w:tblGrid>
        <w:gridCol w:w="481"/>
        <w:gridCol w:w="5123"/>
        <w:gridCol w:w="4866"/>
      </w:tblGrid>
      <w:tr w:rsidR="00CD1882" w:rsidRPr="003D0D96" w:rsidTr="00CD1882">
        <w:tc>
          <w:tcPr>
            <w:tcW w:w="481" w:type="dxa"/>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CD1882" w:rsidRPr="003D0D96" w:rsidRDefault="00CD1882" w:rsidP="00E97164">
            <w:pPr>
              <w:spacing w:before="120" w:after="120" w:line="280" w:lineRule="atLeast"/>
              <w:rPr>
                <w:color w:val="000000" w:themeColor="text1"/>
              </w:rPr>
            </w:pPr>
          </w:p>
        </w:tc>
        <w:tc>
          <w:tcPr>
            <w:tcW w:w="5123" w:type="dxa"/>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CD1882" w:rsidRPr="003D0D96" w:rsidRDefault="00CD1882" w:rsidP="00E97164">
            <w:pPr>
              <w:spacing w:before="120" w:after="120" w:line="280" w:lineRule="atLeast"/>
              <w:rPr>
                <w:color w:val="000000" w:themeColor="text1"/>
              </w:rPr>
            </w:pPr>
            <w:r w:rsidRPr="003D0D96">
              <w:rPr>
                <w:b/>
                <w:color w:val="000000" w:themeColor="text1"/>
              </w:rPr>
              <w:t>Measure</w:t>
            </w:r>
          </w:p>
        </w:tc>
        <w:tc>
          <w:tcPr>
            <w:tcW w:w="4866" w:type="dxa"/>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CD1882" w:rsidRPr="003D0D96" w:rsidRDefault="00CD1882" w:rsidP="00E97164">
            <w:pPr>
              <w:spacing w:before="120" w:after="120" w:line="280" w:lineRule="atLeast"/>
              <w:rPr>
                <w:color w:val="000000" w:themeColor="text1"/>
              </w:rPr>
            </w:pPr>
            <w:r>
              <w:rPr>
                <w:b/>
                <w:color w:val="000000" w:themeColor="text1"/>
              </w:rPr>
              <w:t>Definition</w:t>
            </w:r>
          </w:p>
        </w:tc>
      </w:tr>
      <w:tr w:rsidR="00CD1882" w:rsidRPr="00D1641E" w:rsidTr="00CD1882">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1</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Number of fire deaths</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ind w:left="81"/>
              <w:rPr>
                <w:sz w:val="24"/>
                <w:szCs w:val="24"/>
              </w:rPr>
            </w:pPr>
            <w:r>
              <w:rPr>
                <w:sz w:val="24"/>
                <w:szCs w:val="24"/>
              </w:rPr>
              <w:t>The number of deaths that occur as the result of a fire, even when the death occurs weeks or months later.</w:t>
            </w:r>
          </w:p>
        </w:tc>
      </w:tr>
      <w:tr w:rsidR="00CD1882" w:rsidRPr="003D0D96" w:rsidTr="00CD1882">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2</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Number of non-fatal fire casualties</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F92F5E" w:rsidRDefault="00CD1882" w:rsidP="00E97164">
            <w:pPr>
              <w:pStyle w:val="TableParagraph"/>
              <w:kinsoku w:val="0"/>
              <w:overflowPunct w:val="0"/>
              <w:spacing w:before="120" w:after="120"/>
              <w:ind w:left="81"/>
              <w:rPr>
                <w:sz w:val="24"/>
                <w:szCs w:val="24"/>
              </w:rPr>
            </w:pPr>
            <w:r w:rsidRPr="00F92F5E">
              <w:rPr>
                <w:rFonts w:eastAsia="Times New Roman"/>
                <w:sz w:val="24"/>
                <w:szCs w:val="24"/>
              </w:rPr>
              <w:t xml:space="preserve">The number of non-fatal casualties that occur as a result of </w:t>
            </w:r>
            <w:r>
              <w:rPr>
                <w:rFonts w:eastAsia="Times New Roman"/>
                <w:sz w:val="24"/>
                <w:szCs w:val="24"/>
              </w:rPr>
              <w:t>a</w:t>
            </w:r>
            <w:r w:rsidRPr="00F92F5E">
              <w:rPr>
                <w:rFonts w:eastAsia="Times New Roman"/>
                <w:sz w:val="24"/>
                <w:szCs w:val="24"/>
              </w:rPr>
              <w:t xml:space="preserve"> fire. This includes a</w:t>
            </w:r>
            <w:r>
              <w:rPr>
                <w:rFonts w:eastAsia="Times New Roman"/>
                <w:sz w:val="24"/>
                <w:szCs w:val="24"/>
              </w:rPr>
              <w:t>ny injuries</w:t>
            </w:r>
            <w:r w:rsidRPr="00F92F5E">
              <w:rPr>
                <w:rFonts w:eastAsia="Times New Roman"/>
                <w:sz w:val="24"/>
                <w:szCs w:val="24"/>
              </w:rPr>
              <w:t xml:space="preserve"> </w:t>
            </w:r>
            <w:r>
              <w:rPr>
                <w:rFonts w:eastAsia="Times New Roman"/>
                <w:sz w:val="24"/>
                <w:szCs w:val="24"/>
              </w:rPr>
              <w:t xml:space="preserve">or medical attention which are attributed to the fire. </w:t>
            </w:r>
          </w:p>
        </w:tc>
      </w:tr>
      <w:tr w:rsidR="00CD1882" w:rsidRPr="003D0D96" w:rsidTr="00CD1882">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3</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Number of deliberate primary fires</w:t>
            </w:r>
          </w:p>
        </w:tc>
        <w:tc>
          <w:tcPr>
            <w:tcW w:w="4866" w:type="dxa"/>
            <w:tcBorders>
              <w:top w:val="single" w:sz="8" w:space="0" w:color="231F20"/>
              <w:left w:val="single" w:sz="8" w:space="0" w:color="231F20"/>
              <w:bottom w:val="single" w:sz="8" w:space="0" w:color="231F20"/>
              <w:right w:val="single" w:sz="8" w:space="0" w:color="231F20"/>
            </w:tcBorders>
          </w:tcPr>
          <w:p w:rsidR="00CD1882" w:rsidRPr="00F92F5E" w:rsidRDefault="00CD1882" w:rsidP="00E97164">
            <w:pPr>
              <w:pStyle w:val="TableParagraph"/>
              <w:kinsoku w:val="0"/>
              <w:overflowPunct w:val="0"/>
              <w:spacing w:before="120" w:after="120"/>
              <w:ind w:left="81"/>
              <w:rPr>
                <w:sz w:val="24"/>
                <w:szCs w:val="24"/>
              </w:rPr>
            </w:pPr>
            <w:r w:rsidRPr="00F92F5E">
              <w:rPr>
                <w:sz w:val="24"/>
                <w:szCs w:val="24"/>
              </w:rPr>
              <w:t>Th</w:t>
            </w:r>
            <w:r>
              <w:rPr>
                <w:sz w:val="24"/>
                <w:szCs w:val="24"/>
              </w:rPr>
              <w:t>e total number of primary fires that have been</w:t>
            </w:r>
            <w:r w:rsidRPr="00F92F5E">
              <w:rPr>
                <w:sz w:val="24"/>
                <w:szCs w:val="24"/>
              </w:rPr>
              <w:t xml:space="preserve"> started deliberately.</w:t>
            </w:r>
          </w:p>
        </w:tc>
      </w:tr>
      <w:tr w:rsidR="00CD1882" w:rsidRPr="003D0D96" w:rsidTr="00CD1882">
        <w:trPr>
          <w:trHeight w:val="18"/>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4</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Number of deliberate secondary fires</w:t>
            </w:r>
          </w:p>
        </w:tc>
        <w:tc>
          <w:tcPr>
            <w:tcW w:w="4866" w:type="dxa"/>
            <w:tcBorders>
              <w:top w:val="single" w:sz="8" w:space="0" w:color="231F20"/>
              <w:left w:val="single" w:sz="8" w:space="0" w:color="231F20"/>
              <w:bottom w:val="single" w:sz="8" w:space="0" w:color="231F20"/>
              <w:right w:val="single" w:sz="8" w:space="0" w:color="231F20"/>
            </w:tcBorders>
          </w:tcPr>
          <w:p w:rsidR="00CD1882" w:rsidRPr="00F92F5E" w:rsidRDefault="00CD1882" w:rsidP="00E97164">
            <w:pPr>
              <w:pStyle w:val="TableParagraph"/>
              <w:kinsoku w:val="0"/>
              <w:overflowPunct w:val="0"/>
              <w:spacing w:before="120" w:after="120"/>
              <w:ind w:left="81"/>
              <w:rPr>
                <w:sz w:val="24"/>
                <w:szCs w:val="24"/>
              </w:rPr>
            </w:pPr>
            <w:r w:rsidRPr="00F92F5E">
              <w:rPr>
                <w:sz w:val="24"/>
                <w:szCs w:val="24"/>
              </w:rPr>
              <w:t xml:space="preserve">The </w:t>
            </w:r>
            <w:r>
              <w:rPr>
                <w:sz w:val="24"/>
                <w:szCs w:val="24"/>
              </w:rPr>
              <w:t>total number of secondary fires that have been</w:t>
            </w:r>
            <w:r w:rsidRPr="00F92F5E">
              <w:rPr>
                <w:sz w:val="24"/>
                <w:szCs w:val="24"/>
              </w:rPr>
              <w:t xml:space="preserve"> started deliberately.</w:t>
            </w:r>
          </w:p>
        </w:tc>
      </w:tr>
      <w:tr w:rsidR="00CD1882" w:rsidRPr="003D0D96" w:rsidTr="00CD1882">
        <w:trPr>
          <w:trHeight w:val="397"/>
        </w:trPr>
        <w:tc>
          <w:tcPr>
            <w:tcW w:w="10470" w:type="dxa"/>
            <w:gridSpan w:val="3"/>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Prevention</w:t>
            </w:r>
          </w:p>
        </w:tc>
      </w:tr>
      <w:tr w:rsidR="00CD1882" w:rsidRPr="003D0D96" w:rsidTr="00CD1882">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5</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ind w:left="79" w:right="170"/>
              <w:rPr>
                <w:sz w:val="24"/>
                <w:szCs w:val="24"/>
              </w:rPr>
            </w:pPr>
            <w:r w:rsidRPr="00375EA7">
              <w:rPr>
                <w:sz w:val="24"/>
                <w:szCs w:val="24"/>
              </w:rPr>
              <w:t xml:space="preserve">Increase the number of Referrals for Safe and Well visits received from our partners </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ind w:left="81"/>
              <w:rPr>
                <w:sz w:val="24"/>
                <w:szCs w:val="24"/>
              </w:rPr>
            </w:pPr>
            <w:r>
              <w:rPr>
                <w:sz w:val="24"/>
                <w:szCs w:val="24"/>
              </w:rPr>
              <w:t>RBFRS receive referrals from other agencies for individuals at risk from fire in their homes. These referrals are a high quality source of information about those at risk in our communities.</w:t>
            </w:r>
          </w:p>
        </w:tc>
      </w:tr>
      <w:tr w:rsidR="00CD1882" w:rsidRPr="003D0D96" w:rsidTr="00CD1882">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6</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ind w:right="170"/>
              <w:rPr>
                <w:sz w:val="24"/>
                <w:szCs w:val="24"/>
              </w:rPr>
            </w:pPr>
            <w:r w:rsidRPr="00375EA7">
              <w:rPr>
                <w:sz w:val="24"/>
                <w:szCs w:val="24"/>
              </w:rPr>
              <w:t xml:space="preserve">Percentage of Safe and Well referrals, where there has been a threat or incidence of arson, completed within 48 hours. </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F92F5E" w:rsidRDefault="00CD1882" w:rsidP="00E97164">
            <w:pPr>
              <w:pStyle w:val="TableParagraph"/>
              <w:kinsoku w:val="0"/>
              <w:overflowPunct w:val="0"/>
              <w:spacing w:before="120" w:after="120"/>
              <w:ind w:left="81"/>
              <w:rPr>
                <w:sz w:val="24"/>
                <w:szCs w:val="24"/>
              </w:rPr>
            </w:pPr>
            <w:r w:rsidRPr="00F92F5E">
              <w:rPr>
                <w:rFonts w:eastAsia="Calibri"/>
                <w:noProof/>
                <w:sz w:val="24"/>
                <w:szCs w:val="24"/>
              </w:rPr>
              <w:t xml:space="preserve">When RBFRS are made aware of the threat or </w:t>
            </w:r>
            <w:r>
              <w:rPr>
                <w:rFonts w:eastAsia="Calibri"/>
                <w:noProof/>
                <w:sz w:val="24"/>
                <w:szCs w:val="24"/>
              </w:rPr>
              <w:t xml:space="preserve">an </w:t>
            </w:r>
            <w:r w:rsidRPr="00F92F5E">
              <w:rPr>
                <w:rFonts w:eastAsia="Calibri"/>
                <w:noProof/>
                <w:sz w:val="24"/>
                <w:szCs w:val="24"/>
              </w:rPr>
              <w:t>incidence of arson against an individual(s) a Safe and Well Visit should be conducted, wherever possible, within 48 hours.</w:t>
            </w:r>
          </w:p>
        </w:tc>
      </w:tr>
      <w:tr w:rsidR="00CD1882" w:rsidRPr="003D0D96" w:rsidTr="00CD1882">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7</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 xml:space="preserve">Percentage of Very High and High Risk Safe and Well Referrals completed within target time </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ind w:left="81"/>
              <w:rPr>
                <w:sz w:val="24"/>
                <w:szCs w:val="24"/>
              </w:rPr>
            </w:pPr>
            <w:r>
              <w:rPr>
                <w:sz w:val="24"/>
                <w:szCs w:val="24"/>
              </w:rPr>
              <w:t>Safe and Well Referrals are risk assessed, with each category of risk having a target time for completion. Very High risk referrals have a target time of 72 hours and High risk referrals have a target time of 14 days.</w:t>
            </w:r>
          </w:p>
        </w:tc>
      </w:tr>
      <w:tr w:rsidR="00CD1882" w:rsidRPr="003D0D96" w:rsidTr="00CD1882">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lastRenderedPageBreak/>
              <w:t>8</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Percentage of Medium Risk Safe and Well Referrals completed within target time</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ind w:left="81"/>
              <w:rPr>
                <w:sz w:val="24"/>
                <w:szCs w:val="24"/>
              </w:rPr>
            </w:pPr>
            <w:r>
              <w:rPr>
                <w:sz w:val="24"/>
                <w:szCs w:val="24"/>
              </w:rPr>
              <w:t>Safe and Well Referrals are risk assessed, with each category of risk having a target time for completion. Medium risk referrals have a target time of 21 days.</w:t>
            </w:r>
          </w:p>
        </w:tc>
      </w:tr>
      <w:tr w:rsidR="00CD1882" w:rsidRPr="003D0D96" w:rsidTr="00CD1882">
        <w:trPr>
          <w:trHeight w:val="397"/>
        </w:trPr>
        <w:tc>
          <w:tcPr>
            <w:tcW w:w="10470" w:type="dxa"/>
            <w:gridSpan w:val="3"/>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Protection</w:t>
            </w:r>
          </w:p>
        </w:tc>
      </w:tr>
      <w:tr w:rsidR="00CD1882" w:rsidRPr="003D0D96" w:rsidTr="00CD1882">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9</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Proportion of Fire Safety Audits conducted against premises identified as High or Very High Risk in our Risk Based Inspection Programme</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BF69B4" w:rsidRDefault="00CD1882" w:rsidP="00E97164">
            <w:pPr>
              <w:pStyle w:val="TableParagraph"/>
              <w:kinsoku w:val="0"/>
              <w:overflowPunct w:val="0"/>
              <w:spacing w:before="120" w:after="120"/>
              <w:ind w:left="81"/>
              <w:rPr>
                <w:sz w:val="24"/>
                <w:szCs w:val="24"/>
              </w:rPr>
            </w:pPr>
            <w:r w:rsidRPr="00BF69B4">
              <w:rPr>
                <w:rFonts w:eastAsia="Calibri"/>
                <w:noProof/>
                <w:sz w:val="24"/>
                <w:szCs w:val="24"/>
              </w:rPr>
              <w:t>A Fire Safety Audit is carried out to enforce the Regulatory Reform Order (RRO) 2005. Our Risk Based Inspection Programme targets the riskiest premises in the county for inspection. Fire Safety Audits can also result from complaints, or can be carried out after an incident or for training purposes. This measure allows us to monitor how our resources are being targeted at risk.</w:t>
            </w:r>
          </w:p>
        </w:tc>
      </w:tr>
      <w:tr w:rsidR="00CD1882" w:rsidRPr="003D0D96" w:rsidTr="00CD1882">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10</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Percentage of Fire Safety Audits with a ‘Broadly Compliant’ result.</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ind w:left="81"/>
              <w:rPr>
                <w:sz w:val="24"/>
                <w:szCs w:val="24"/>
              </w:rPr>
            </w:pPr>
            <w:r>
              <w:rPr>
                <w:sz w:val="24"/>
                <w:szCs w:val="24"/>
              </w:rPr>
              <w:t>The percentage of completed</w:t>
            </w:r>
            <w:r w:rsidRPr="00F92F5E">
              <w:rPr>
                <w:sz w:val="24"/>
                <w:szCs w:val="24"/>
              </w:rPr>
              <w:t xml:space="preserve"> Fire Safety Audits carried out in commercial premises, where the result was ‘Broadly Compliant’ (satisfactory) and no further action or follow-up was required.</w:t>
            </w:r>
          </w:p>
        </w:tc>
      </w:tr>
      <w:tr w:rsidR="00CD1882" w:rsidRPr="003D0D96" w:rsidTr="00CD1882">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11</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Percentage success when cases go to court.</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ind w:left="81"/>
              <w:rPr>
                <w:sz w:val="24"/>
                <w:szCs w:val="24"/>
              </w:rPr>
            </w:pPr>
            <w:r>
              <w:rPr>
                <w:sz w:val="24"/>
                <w:szCs w:val="24"/>
              </w:rPr>
              <w:t xml:space="preserve">RBFRS prosecute serious cases following Fire Safety Audits. A successful outcome at court is a finding or admission of guilt. </w:t>
            </w:r>
          </w:p>
        </w:tc>
      </w:tr>
      <w:tr w:rsidR="00CD1882" w:rsidRPr="003D0D96" w:rsidTr="00CD1882">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12</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Percentage of statutory fire consultations completed within the required timeframes.</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F92F5E" w:rsidRDefault="00CD1882" w:rsidP="00E97164">
            <w:pPr>
              <w:pStyle w:val="TableParagraph"/>
              <w:kinsoku w:val="0"/>
              <w:overflowPunct w:val="0"/>
              <w:spacing w:before="120" w:after="120"/>
              <w:ind w:left="81"/>
              <w:rPr>
                <w:sz w:val="24"/>
                <w:szCs w:val="24"/>
              </w:rPr>
            </w:pPr>
            <w:r w:rsidRPr="00F92F5E">
              <w:rPr>
                <w:sz w:val="24"/>
                <w:szCs w:val="24"/>
              </w:rPr>
              <w:t>Statutory fire consultations have a legally defined timeframe in which they must be completed</w:t>
            </w:r>
            <w:r>
              <w:rPr>
                <w:sz w:val="24"/>
                <w:szCs w:val="24"/>
              </w:rPr>
              <w:t>. Types of consultation</w:t>
            </w:r>
            <w:r w:rsidRPr="00F92F5E">
              <w:rPr>
                <w:sz w:val="24"/>
                <w:szCs w:val="24"/>
              </w:rPr>
              <w:t xml:space="preserve"> include:</w:t>
            </w:r>
          </w:p>
          <w:p w:rsidR="00CD1882" w:rsidRPr="00F92F5E" w:rsidRDefault="00CD1882" w:rsidP="00E97164">
            <w:pPr>
              <w:pStyle w:val="TableParagraph"/>
              <w:kinsoku w:val="0"/>
              <w:overflowPunct w:val="0"/>
              <w:spacing w:before="120" w:after="120"/>
              <w:ind w:left="401" w:hanging="283"/>
              <w:rPr>
                <w:sz w:val="24"/>
                <w:szCs w:val="24"/>
              </w:rPr>
            </w:pPr>
            <w:r w:rsidRPr="00F92F5E">
              <w:rPr>
                <w:sz w:val="24"/>
                <w:szCs w:val="24"/>
              </w:rPr>
              <w:t>•</w:t>
            </w:r>
            <w:r w:rsidRPr="00F92F5E">
              <w:rPr>
                <w:sz w:val="24"/>
                <w:szCs w:val="24"/>
              </w:rPr>
              <w:tab/>
              <w:t>Licensing</w:t>
            </w:r>
          </w:p>
          <w:p w:rsidR="00CD1882" w:rsidRPr="003D0D96" w:rsidRDefault="00CD1882" w:rsidP="00E97164">
            <w:pPr>
              <w:pStyle w:val="TableParagraph"/>
              <w:kinsoku w:val="0"/>
              <w:overflowPunct w:val="0"/>
              <w:spacing w:before="120" w:after="120"/>
              <w:ind w:left="401" w:hanging="283"/>
              <w:rPr>
                <w:sz w:val="24"/>
                <w:szCs w:val="24"/>
              </w:rPr>
            </w:pPr>
            <w:r>
              <w:rPr>
                <w:sz w:val="24"/>
                <w:szCs w:val="24"/>
              </w:rPr>
              <w:t>•</w:t>
            </w:r>
            <w:r>
              <w:rPr>
                <w:sz w:val="24"/>
                <w:szCs w:val="24"/>
              </w:rPr>
              <w:tab/>
              <w:t>Building regulations</w:t>
            </w:r>
          </w:p>
        </w:tc>
      </w:tr>
      <w:tr w:rsidR="00CD1882" w:rsidRPr="003D0D96" w:rsidTr="00CD1882">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13</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The number of Automatic Fire Alarm calls received.</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ind w:left="81"/>
              <w:rPr>
                <w:sz w:val="24"/>
                <w:szCs w:val="24"/>
              </w:rPr>
            </w:pPr>
            <w:r w:rsidRPr="00F92F5E">
              <w:rPr>
                <w:sz w:val="24"/>
                <w:szCs w:val="24"/>
              </w:rPr>
              <w:t>Automatic Fire Alarm calls are calls from Alarm systems and have a higher like</w:t>
            </w:r>
            <w:r>
              <w:rPr>
                <w:sz w:val="24"/>
                <w:szCs w:val="24"/>
              </w:rPr>
              <w:t>lihood of being a false alarm. Reducing the number of these types of calls makes us more efficient.</w:t>
            </w:r>
          </w:p>
        </w:tc>
      </w:tr>
      <w:tr w:rsidR="00CD1882" w:rsidRPr="003D0D96" w:rsidTr="00CD1882">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14</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 xml:space="preserve">Percentage of Automatic Fire Alarm calls where RBFRS did not attend  </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ind w:left="81"/>
              <w:rPr>
                <w:sz w:val="24"/>
                <w:szCs w:val="24"/>
              </w:rPr>
            </w:pPr>
            <w:r w:rsidRPr="00F92F5E">
              <w:rPr>
                <w:sz w:val="24"/>
                <w:szCs w:val="24"/>
              </w:rPr>
              <w:t xml:space="preserve">This is the number of Automatic Fire Alarm calls received where we did not attend. In some circumstances we are able to seek </w:t>
            </w:r>
            <w:r w:rsidRPr="00F92F5E">
              <w:rPr>
                <w:sz w:val="24"/>
                <w:szCs w:val="24"/>
              </w:rPr>
              <w:lastRenderedPageBreak/>
              <w:t>confirmation before attending</w:t>
            </w:r>
            <w:r>
              <w:rPr>
                <w:sz w:val="24"/>
                <w:szCs w:val="24"/>
              </w:rPr>
              <w:t>, enabling us to be more efficient</w:t>
            </w:r>
            <w:r w:rsidRPr="00F92F5E">
              <w:rPr>
                <w:sz w:val="24"/>
                <w:szCs w:val="24"/>
              </w:rPr>
              <w:t xml:space="preserve">.  </w:t>
            </w:r>
          </w:p>
        </w:tc>
      </w:tr>
      <w:tr w:rsidR="00CD1882" w:rsidRPr="003D0D96" w:rsidTr="00CD1882">
        <w:trPr>
          <w:trHeight w:val="454"/>
        </w:trPr>
        <w:tc>
          <w:tcPr>
            <w:tcW w:w="10470" w:type="dxa"/>
            <w:gridSpan w:val="3"/>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lastRenderedPageBreak/>
              <w:t>Response</w:t>
            </w:r>
          </w:p>
        </w:tc>
      </w:tr>
      <w:tr w:rsidR="00CD1882" w:rsidRPr="003D0D96" w:rsidTr="00CD1882">
        <w:trPr>
          <w:trHeight w:val="680"/>
        </w:trPr>
        <w:tc>
          <w:tcPr>
            <w:tcW w:w="481" w:type="dxa"/>
            <w:tcBorders>
              <w:top w:val="single" w:sz="8" w:space="0" w:color="231F20"/>
              <w:left w:val="single" w:sz="8" w:space="0" w:color="231F20"/>
              <w:bottom w:val="single" w:sz="8" w:space="0" w:color="00000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15</w:t>
            </w:r>
          </w:p>
        </w:tc>
        <w:tc>
          <w:tcPr>
            <w:tcW w:w="5123" w:type="dxa"/>
            <w:tcBorders>
              <w:top w:val="single" w:sz="8" w:space="0" w:color="231F20"/>
              <w:left w:val="single" w:sz="8" w:space="0" w:color="231F20"/>
              <w:bottom w:val="single" w:sz="8" w:space="0" w:color="000000"/>
              <w:right w:val="single" w:sz="8" w:space="0" w:color="231F20"/>
            </w:tcBorders>
            <w:vAlign w:val="center"/>
          </w:tcPr>
          <w:p w:rsidR="00CD1882" w:rsidRPr="00375EA7" w:rsidRDefault="00CD1882" w:rsidP="00E97164">
            <w:pPr>
              <w:pStyle w:val="TableParagraph"/>
              <w:kinsoku w:val="0"/>
              <w:overflowPunct w:val="0"/>
              <w:spacing w:before="120" w:after="120"/>
              <w:ind w:right="825"/>
              <w:rPr>
                <w:sz w:val="24"/>
                <w:szCs w:val="24"/>
              </w:rPr>
            </w:pPr>
            <w:r w:rsidRPr="00375EA7">
              <w:rPr>
                <w:sz w:val="24"/>
                <w:szCs w:val="24"/>
              </w:rPr>
              <w:t>Percentage of occasions where the first fire engine arrives at an emergency incident within 10 minutes from time the emergency call was answered</w:t>
            </w:r>
          </w:p>
        </w:tc>
        <w:tc>
          <w:tcPr>
            <w:tcW w:w="4866" w:type="dxa"/>
            <w:tcBorders>
              <w:top w:val="single" w:sz="8" w:space="0" w:color="231F20"/>
              <w:left w:val="single" w:sz="8" w:space="0" w:color="231F20"/>
              <w:bottom w:val="single" w:sz="8" w:space="0" w:color="000000"/>
              <w:right w:val="single" w:sz="8" w:space="0" w:color="231F20"/>
            </w:tcBorders>
            <w:vAlign w:val="center"/>
          </w:tcPr>
          <w:p w:rsidR="00CD1882" w:rsidRPr="00F92F5E" w:rsidRDefault="00CD1882" w:rsidP="00E97164">
            <w:pPr>
              <w:pStyle w:val="TableParagraph"/>
              <w:kinsoku w:val="0"/>
              <w:overflowPunct w:val="0"/>
              <w:spacing w:before="120" w:after="120"/>
              <w:ind w:left="81"/>
              <w:rPr>
                <w:sz w:val="24"/>
                <w:szCs w:val="24"/>
              </w:rPr>
            </w:pPr>
            <w:r w:rsidRPr="00F92F5E">
              <w:rPr>
                <w:rFonts w:eastAsia="Calibri"/>
                <w:noProof/>
                <w:sz w:val="24"/>
                <w:szCs w:val="24"/>
              </w:rPr>
              <w:t xml:space="preserve">This </w:t>
            </w:r>
            <w:r>
              <w:rPr>
                <w:rFonts w:eastAsia="Calibri"/>
                <w:noProof/>
                <w:sz w:val="24"/>
                <w:szCs w:val="24"/>
              </w:rPr>
              <w:t>is our Response Standard, and</w:t>
            </w:r>
            <w:r w:rsidRPr="00F92F5E">
              <w:rPr>
                <w:rFonts w:eastAsia="Calibri"/>
                <w:noProof/>
                <w:sz w:val="24"/>
                <w:szCs w:val="24"/>
              </w:rPr>
              <w:t xml:space="preserve"> looks at the time taken from when the Fire Control Room Operator answers the phone until the time the first fire engine (appliance) arrives at the scene of the emergency incident</w:t>
            </w:r>
            <w:r>
              <w:rPr>
                <w:rFonts w:eastAsia="Calibri"/>
                <w:noProof/>
                <w:sz w:val="24"/>
                <w:szCs w:val="24"/>
              </w:rPr>
              <w:t xml:space="preserve">. We aim to attend 75% of these incidents in under 10 minutes. </w:t>
            </w:r>
          </w:p>
        </w:tc>
      </w:tr>
      <w:tr w:rsidR="00CD1882" w:rsidRPr="003D0D96" w:rsidTr="00CD1882">
        <w:trPr>
          <w:trHeight w:val="680"/>
        </w:trPr>
        <w:tc>
          <w:tcPr>
            <w:tcW w:w="481" w:type="dxa"/>
            <w:tcBorders>
              <w:top w:val="single" w:sz="8" w:space="0" w:color="231F20"/>
              <w:left w:val="single" w:sz="8" w:space="0" w:color="231F20"/>
              <w:bottom w:val="single" w:sz="8" w:space="0" w:color="00000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16</w:t>
            </w:r>
          </w:p>
        </w:tc>
        <w:tc>
          <w:tcPr>
            <w:tcW w:w="5123" w:type="dxa"/>
            <w:tcBorders>
              <w:top w:val="single" w:sz="8" w:space="0" w:color="231F20"/>
              <w:left w:val="single" w:sz="8" w:space="0" w:color="231F20"/>
              <w:bottom w:val="single" w:sz="8" w:space="0" w:color="00000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 xml:space="preserve">Percentage of </w:t>
            </w:r>
            <w:proofErr w:type="spellStart"/>
            <w:r w:rsidRPr="00375EA7">
              <w:rPr>
                <w:sz w:val="24"/>
                <w:szCs w:val="24"/>
              </w:rPr>
              <w:t>wholetime</w:t>
            </w:r>
            <w:proofErr w:type="spellEnd"/>
            <w:r w:rsidRPr="00375EA7">
              <w:rPr>
                <w:sz w:val="24"/>
                <w:szCs w:val="24"/>
              </w:rPr>
              <w:t xml:space="preserve"> frontline pumping appliance availability</w:t>
            </w:r>
          </w:p>
        </w:tc>
        <w:tc>
          <w:tcPr>
            <w:tcW w:w="4866" w:type="dxa"/>
            <w:tcBorders>
              <w:top w:val="single" w:sz="8" w:space="0" w:color="231F20"/>
              <w:left w:val="single" w:sz="8" w:space="0" w:color="231F20"/>
              <w:bottom w:val="single" w:sz="8" w:space="0" w:color="000000"/>
              <w:right w:val="single" w:sz="8" w:space="0" w:color="231F20"/>
            </w:tcBorders>
            <w:vAlign w:val="center"/>
          </w:tcPr>
          <w:p w:rsidR="00CD1882" w:rsidRPr="00375EA7" w:rsidRDefault="00CD1882" w:rsidP="00E97164">
            <w:pPr>
              <w:pStyle w:val="TableParagraph"/>
              <w:kinsoku w:val="0"/>
              <w:overflowPunct w:val="0"/>
              <w:spacing w:before="120" w:after="120"/>
              <w:ind w:left="81"/>
              <w:rPr>
                <w:sz w:val="24"/>
                <w:szCs w:val="24"/>
              </w:rPr>
            </w:pPr>
            <w:r>
              <w:rPr>
                <w:sz w:val="24"/>
                <w:szCs w:val="24"/>
              </w:rPr>
              <w:t xml:space="preserve">This measure shows the percentage of time that our </w:t>
            </w:r>
            <w:proofErr w:type="spellStart"/>
            <w:r>
              <w:rPr>
                <w:sz w:val="24"/>
                <w:szCs w:val="24"/>
              </w:rPr>
              <w:t>wholetime</w:t>
            </w:r>
            <w:proofErr w:type="spellEnd"/>
            <w:r>
              <w:rPr>
                <w:sz w:val="24"/>
                <w:szCs w:val="24"/>
              </w:rPr>
              <w:t xml:space="preserve"> pumping appliances are available for mobilisation.  Reasons for unavailability include mechanical defects and crewing. </w:t>
            </w:r>
          </w:p>
        </w:tc>
      </w:tr>
      <w:tr w:rsidR="00CD1882" w:rsidRPr="003D0D96" w:rsidTr="00CD1882">
        <w:trPr>
          <w:trHeight w:val="680"/>
        </w:trPr>
        <w:tc>
          <w:tcPr>
            <w:tcW w:w="481" w:type="dxa"/>
            <w:tcBorders>
              <w:top w:val="single" w:sz="8" w:space="0" w:color="000000"/>
              <w:left w:val="single" w:sz="8" w:space="0" w:color="000000"/>
              <w:bottom w:val="single" w:sz="8" w:space="0" w:color="00000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17</w:t>
            </w:r>
          </w:p>
        </w:tc>
        <w:tc>
          <w:tcPr>
            <w:tcW w:w="5123" w:type="dxa"/>
            <w:tcBorders>
              <w:top w:val="single" w:sz="8" w:space="0" w:color="000000"/>
              <w:left w:val="single" w:sz="8" w:space="0" w:color="231F20"/>
              <w:bottom w:val="single" w:sz="8" w:space="0" w:color="00000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Percentage of hours where there is adequate crewing on on-call frontline pumping appliances (based on 24/7 crewing)</w:t>
            </w:r>
          </w:p>
        </w:tc>
        <w:tc>
          <w:tcPr>
            <w:tcW w:w="4866" w:type="dxa"/>
            <w:tcBorders>
              <w:top w:val="single" w:sz="8" w:space="0" w:color="000000"/>
              <w:left w:val="single" w:sz="8" w:space="0" w:color="231F20"/>
              <w:bottom w:val="single" w:sz="8" w:space="0" w:color="000000"/>
              <w:right w:val="single" w:sz="8" w:space="0" w:color="000000"/>
            </w:tcBorders>
            <w:vAlign w:val="center"/>
          </w:tcPr>
          <w:p w:rsidR="00CD1882" w:rsidRPr="00375EA7" w:rsidRDefault="00CD1882" w:rsidP="00E97164">
            <w:pPr>
              <w:pStyle w:val="TableParagraph"/>
              <w:kinsoku w:val="0"/>
              <w:overflowPunct w:val="0"/>
              <w:spacing w:before="120" w:after="120"/>
              <w:ind w:left="81"/>
              <w:rPr>
                <w:sz w:val="24"/>
                <w:szCs w:val="24"/>
              </w:rPr>
            </w:pPr>
            <w:r w:rsidRPr="00F92F5E">
              <w:rPr>
                <w:sz w:val="24"/>
                <w:szCs w:val="24"/>
              </w:rPr>
              <w:t>This is the pe</w:t>
            </w:r>
            <w:r>
              <w:rPr>
                <w:sz w:val="24"/>
                <w:szCs w:val="24"/>
              </w:rPr>
              <w:t>rcentage of hours where there are</w:t>
            </w:r>
            <w:r w:rsidRPr="00F92F5E">
              <w:rPr>
                <w:sz w:val="24"/>
                <w:szCs w:val="24"/>
              </w:rPr>
              <w:t xml:space="preserve"> sufficient minimum qualifie</w:t>
            </w:r>
            <w:r>
              <w:rPr>
                <w:sz w:val="24"/>
                <w:szCs w:val="24"/>
              </w:rPr>
              <w:t xml:space="preserve">d firefighters </w:t>
            </w:r>
            <w:r w:rsidRPr="00F92F5E">
              <w:rPr>
                <w:sz w:val="24"/>
                <w:szCs w:val="24"/>
              </w:rPr>
              <w:t>on on-call pumping appliances (</w:t>
            </w:r>
            <w:r>
              <w:rPr>
                <w:sz w:val="24"/>
                <w:szCs w:val="24"/>
              </w:rPr>
              <w:t>fire engines) to enable the appliance to be available</w:t>
            </w:r>
            <w:r w:rsidRPr="00F92F5E">
              <w:rPr>
                <w:sz w:val="24"/>
                <w:szCs w:val="24"/>
              </w:rPr>
              <w:t>.  On-ca</w:t>
            </w:r>
            <w:r>
              <w:rPr>
                <w:sz w:val="24"/>
                <w:szCs w:val="24"/>
              </w:rPr>
              <w:t>l</w:t>
            </w:r>
            <w:r w:rsidRPr="00F92F5E">
              <w:rPr>
                <w:sz w:val="24"/>
                <w:szCs w:val="24"/>
              </w:rPr>
              <w:t>l fighters are ready to leave their place of work or home and attend emergencies from the local retained station, when they receive the call.</w:t>
            </w:r>
          </w:p>
        </w:tc>
      </w:tr>
      <w:tr w:rsidR="00CD1882" w:rsidRPr="003D0D96" w:rsidTr="00CD1882">
        <w:trPr>
          <w:trHeight w:val="454"/>
        </w:trPr>
        <w:tc>
          <w:tcPr>
            <w:tcW w:w="10470" w:type="dxa"/>
            <w:gridSpan w:val="3"/>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Resilience</w:t>
            </w:r>
          </w:p>
        </w:tc>
      </w:tr>
      <w:tr w:rsidR="00CD1882" w:rsidRPr="003D0D96" w:rsidTr="00CD1882">
        <w:trPr>
          <w:trHeight w:val="680"/>
        </w:trPr>
        <w:tc>
          <w:tcPr>
            <w:tcW w:w="481" w:type="dxa"/>
            <w:tcBorders>
              <w:top w:val="single" w:sz="8" w:space="0" w:color="000000"/>
              <w:left w:val="single" w:sz="8" w:space="0" w:color="000000"/>
              <w:bottom w:val="single" w:sz="8" w:space="0" w:color="00000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18</w:t>
            </w:r>
          </w:p>
        </w:tc>
        <w:tc>
          <w:tcPr>
            <w:tcW w:w="5123" w:type="dxa"/>
            <w:tcBorders>
              <w:top w:val="single" w:sz="8" w:space="0" w:color="000000"/>
              <w:left w:val="single" w:sz="8" w:space="0" w:color="231F20"/>
              <w:bottom w:val="single" w:sz="8" w:space="0" w:color="000000"/>
              <w:right w:val="single" w:sz="8" w:space="0" w:color="231F20"/>
            </w:tcBorders>
            <w:vAlign w:val="center"/>
          </w:tcPr>
          <w:p w:rsidR="00CD1882" w:rsidRPr="00375EA7" w:rsidRDefault="00CD1882" w:rsidP="00E97164">
            <w:pPr>
              <w:pStyle w:val="TableParagraph"/>
              <w:kinsoku w:val="0"/>
              <w:overflowPunct w:val="0"/>
              <w:spacing w:before="120" w:after="120"/>
              <w:ind w:left="179"/>
              <w:rPr>
                <w:sz w:val="24"/>
                <w:szCs w:val="24"/>
              </w:rPr>
            </w:pPr>
            <w:r w:rsidRPr="00375EA7">
              <w:rPr>
                <w:sz w:val="24"/>
                <w:szCs w:val="24"/>
              </w:rPr>
              <w:t>Percentage of visits to Very High, High and Medium Operational Risk sites completed in timescale</w:t>
            </w:r>
          </w:p>
        </w:tc>
        <w:tc>
          <w:tcPr>
            <w:tcW w:w="4866" w:type="dxa"/>
            <w:tcBorders>
              <w:top w:val="single" w:sz="8" w:space="0" w:color="000000"/>
              <w:left w:val="single" w:sz="8" w:space="0" w:color="231F20"/>
              <w:bottom w:val="single" w:sz="8" w:space="0" w:color="000000"/>
              <w:right w:val="single" w:sz="8" w:space="0" w:color="000000"/>
            </w:tcBorders>
            <w:vAlign w:val="center"/>
          </w:tcPr>
          <w:p w:rsidR="00CD1882" w:rsidRPr="003D0D96" w:rsidRDefault="00CD1882" w:rsidP="00E97164">
            <w:pPr>
              <w:pStyle w:val="TableParagraph"/>
              <w:kinsoku w:val="0"/>
              <w:overflowPunct w:val="0"/>
              <w:spacing w:before="120" w:after="120"/>
              <w:ind w:left="81"/>
              <w:rPr>
                <w:sz w:val="24"/>
                <w:szCs w:val="24"/>
              </w:rPr>
            </w:pPr>
            <w:r>
              <w:rPr>
                <w:sz w:val="24"/>
                <w:szCs w:val="24"/>
              </w:rPr>
              <w:t>Operational Risk sites are those locations with particular characteristics (e.g. use, location) that pose a specific or unusual risk to our firefighters and the surrounding communities. Regular familiarisation visits by crews and support staff are required to ensure understanding of the risk is up to date.</w:t>
            </w:r>
          </w:p>
        </w:tc>
      </w:tr>
      <w:tr w:rsidR="00CD1882" w:rsidRPr="003D0D96" w:rsidTr="00CD1882">
        <w:trPr>
          <w:trHeight w:val="680"/>
        </w:trPr>
        <w:tc>
          <w:tcPr>
            <w:tcW w:w="481" w:type="dxa"/>
            <w:tcBorders>
              <w:top w:val="single" w:sz="8" w:space="0" w:color="000000"/>
              <w:left w:val="single" w:sz="8" w:space="0" w:color="000000"/>
              <w:bottom w:val="single" w:sz="8" w:space="0" w:color="000000"/>
              <w:right w:val="single" w:sz="8" w:space="0" w:color="231F20"/>
            </w:tcBorders>
            <w:vAlign w:val="center"/>
          </w:tcPr>
          <w:p w:rsidR="00CD1882" w:rsidRPr="00375EA7" w:rsidRDefault="00CD1882" w:rsidP="00E97164">
            <w:pPr>
              <w:pStyle w:val="TableParagraph"/>
              <w:kinsoku w:val="0"/>
              <w:overflowPunct w:val="0"/>
              <w:spacing w:before="120" w:after="120"/>
              <w:rPr>
                <w:sz w:val="24"/>
                <w:szCs w:val="24"/>
              </w:rPr>
            </w:pPr>
            <w:r w:rsidRPr="00375EA7">
              <w:rPr>
                <w:sz w:val="24"/>
                <w:szCs w:val="24"/>
              </w:rPr>
              <w:t>19</w:t>
            </w:r>
          </w:p>
        </w:tc>
        <w:tc>
          <w:tcPr>
            <w:tcW w:w="5123" w:type="dxa"/>
            <w:tcBorders>
              <w:top w:val="single" w:sz="8" w:space="0" w:color="000000"/>
              <w:left w:val="single" w:sz="8" w:space="0" w:color="231F20"/>
              <w:bottom w:val="single" w:sz="8" w:space="0" w:color="000000"/>
              <w:right w:val="single" w:sz="8" w:space="0" w:color="231F20"/>
            </w:tcBorders>
            <w:vAlign w:val="center"/>
          </w:tcPr>
          <w:p w:rsidR="00CD1882" w:rsidRPr="00375EA7" w:rsidRDefault="00CD1882" w:rsidP="00E97164">
            <w:pPr>
              <w:pStyle w:val="TableParagraph"/>
              <w:kinsoku w:val="0"/>
              <w:overflowPunct w:val="0"/>
              <w:spacing w:before="120" w:after="120"/>
              <w:ind w:left="179"/>
              <w:rPr>
                <w:sz w:val="24"/>
                <w:szCs w:val="24"/>
              </w:rPr>
            </w:pPr>
            <w:r w:rsidRPr="00375EA7">
              <w:rPr>
                <w:sz w:val="24"/>
                <w:szCs w:val="24"/>
              </w:rPr>
              <w:t>Number of Service Delivery Hub exercises completed</w:t>
            </w:r>
          </w:p>
        </w:tc>
        <w:tc>
          <w:tcPr>
            <w:tcW w:w="4866" w:type="dxa"/>
            <w:tcBorders>
              <w:top w:val="single" w:sz="8" w:space="0" w:color="000000"/>
              <w:left w:val="single" w:sz="8" w:space="0" w:color="231F20"/>
              <w:bottom w:val="single" w:sz="8" w:space="0" w:color="000000"/>
              <w:right w:val="single" w:sz="8" w:space="0" w:color="000000"/>
            </w:tcBorders>
            <w:vAlign w:val="center"/>
          </w:tcPr>
          <w:p w:rsidR="00CD1882" w:rsidRPr="00BF69B4" w:rsidRDefault="00CD1882" w:rsidP="00E97164">
            <w:pPr>
              <w:pStyle w:val="TableParagraph"/>
              <w:kinsoku w:val="0"/>
              <w:overflowPunct w:val="0"/>
              <w:spacing w:before="120" w:after="120"/>
              <w:ind w:left="81"/>
              <w:rPr>
                <w:sz w:val="24"/>
                <w:szCs w:val="24"/>
              </w:rPr>
            </w:pPr>
            <w:r>
              <w:rPr>
                <w:sz w:val="24"/>
                <w:szCs w:val="24"/>
              </w:rPr>
              <w:t>Service Delivery Hub-level o</w:t>
            </w:r>
            <w:r w:rsidRPr="00BF69B4">
              <w:rPr>
                <w:sz w:val="24"/>
                <w:szCs w:val="24"/>
              </w:rPr>
              <w:t xml:space="preserve">perational exercises are an </w:t>
            </w:r>
            <w:r>
              <w:rPr>
                <w:sz w:val="24"/>
                <w:szCs w:val="24"/>
              </w:rPr>
              <w:t>important</w:t>
            </w:r>
            <w:r w:rsidRPr="00BF69B4">
              <w:rPr>
                <w:sz w:val="24"/>
                <w:szCs w:val="24"/>
              </w:rPr>
              <w:t xml:space="preserve"> part of ensuring </w:t>
            </w:r>
            <w:r>
              <w:rPr>
                <w:sz w:val="24"/>
                <w:szCs w:val="24"/>
              </w:rPr>
              <w:t>RBFRS is prepared for incidents that might occur through</w:t>
            </w:r>
            <w:r w:rsidRPr="00BF69B4">
              <w:rPr>
                <w:sz w:val="24"/>
                <w:szCs w:val="24"/>
              </w:rPr>
              <w:t xml:space="preserve"> testing</w:t>
            </w:r>
            <w:r>
              <w:rPr>
                <w:sz w:val="24"/>
                <w:szCs w:val="24"/>
              </w:rPr>
              <w:t xml:space="preserve"> our</w:t>
            </w:r>
            <w:r w:rsidRPr="00BF69B4">
              <w:rPr>
                <w:sz w:val="24"/>
                <w:szCs w:val="24"/>
              </w:rPr>
              <w:t xml:space="preserve"> planning </w:t>
            </w:r>
            <w:r w:rsidRPr="00BF69B4">
              <w:rPr>
                <w:sz w:val="24"/>
                <w:szCs w:val="24"/>
              </w:rPr>
              <w:lastRenderedPageBreak/>
              <w:t>assumptions, guidance and site specific response plans.</w:t>
            </w:r>
            <w:r>
              <w:rPr>
                <w:sz w:val="24"/>
                <w:szCs w:val="24"/>
              </w:rPr>
              <w:t xml:space="preserve"> </w:t>
            </w:r>
          </w:p>
        </w:tc>
      </w:tr>
      <w:tr w:rsidR="00CD1882" w:rsidRPr="003D0D96" w:rsidTr="00CD1882">
        <w:trPr>
          <w:trHeight w:val="454"/>
        </w:trPr>
        <w:tc>
          <w:tcPr>
            <w:tcW w:w="10470" w:type="dxa"/>
            <w:gridSpan w:val="3"/>
            <w:tcBorders>
              <w:top w:val="single" w:sz="8" w:space="0" w:color="000000"/>
              <w:left w:val="single" w:sz="8" w:space="0" w:color="231F20"/>
              <w:bottom w:val="single" w:sz="8" w:space="0" w:color="231F20"/>
              <w:right w:val="single" w:sz="8" w:space="0" w:color="231F20"/>
            </w:tcBorders>
            <w:shd w:val="clear" w:color="auto" w:fill="DBDBDB" w:themeFill="background2"/>
            <w:vAlign w:val="center"/>
          </w:tcPr>
          <w:p w:rsidR="00CD1882" w:rsidRPr="003D0D96" w:rsidRDefault="00CD1882" w:rsidP="00E97164">
            <w:pPr>
              <w:pStyle w:val="TableParagraph"/>
              <w:kinsoku w:val="0"/>
              <w:overflowPunct w:val="0"/>
              <w:spacing w:before="120" w:after="120" w:line="275" w:lineRule="exact"/>
              <w:rPr>
                <w:sz w:val="24"/>
                <w:szCs w:val="24"/>
              </w:rPr>
            </w:pPr>
            <w:r w:rsidRPr="003D0D96">
              <w:rPr>
                <w:sz w:val="24"/>
                <w:szCs w:val="24"/>
              </w:rPr>
              <w:lastRenderedPageBreak/>
              <w:t>Customer Experience</w:t>
            </w:r>
          </w:p>
        </w:tc>
      </w:tr>
      <w:tr w:rsidR="00CD1882" w:rsidRPr="003D0D96" w:rsidTr="00CD1882">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line="275" w:lineRule="exact"/>
              <w:rPr>
                <w:sz w:val="24"/>
                <w:szCs w:val="24"/>
              </w:rPr>
            </w:pPr>
            <w:r w:rsidRPr="003D0D96">
              <w:rPr>
                <w:sz w:val="24"/>
                <w:szCs w:val="24"/>
              </w:rPr>
              <w:t>20</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line="275" w:lineRule="exact"/>
              <w:rPr>
                <w:sz w:val="24"/>
                <w:szCs w:val="24"/>
              </w:rPr>
            </w:pPr>
            <w:r w:rsidRPr="003D0D96">
              <w:rPr>
                <w:sz w:val="24"/>
                <w:szCs w:val="24"/>
              </w:rPr>
              <w:t>Percentage of domestic respondents satisfied with the overall service</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F92F5E" w:rsidRDefault="00CD1882" w:rsidP="00E97164">
            <w:pPr>
              <w:pStyle w:val="TableParagraph"/>
              <w:kinsoku w:val="0"/>
              <w:overflowPunct w:val="0"/>
              <w:spacing w:before="120" w:after="120" w:line="275" w:lineRule="exact"/>
              <w:ind w:left="81"/>
              <w:rPr>
                <w:sz w:val="24"/>
                <w:szCs w:val="24"/>
              </w:rPr>
            </w:pPr>
            <w:r>
              <w:rPr>
                <w:rFonts w:eastAsia="Times New Roman"/>
                <w:sz w:val="24"/>
                <w:szCs w:val="24"/>
              </w:rPr>
              <w:t>A</w:t>
            </w:r>
            <w:r w:rsidRPr="00F92F5E">
              <w:rPr>
                <w:rFonts w:eastAsia="Times New Roman"/>
                <w:sz w:val="24"/>
                <w:szCs w:val="24"/>
              </w:rPr>
              <w:t xml:space="preserve"> custom</w:t>
            </w:r>
            <w:r>
              <w:rPr>
                <w:rFonts w:eastAsia="Times New Roman"/>
                <w:sz w:val="24"/>
                <w:szCs w:val="24"/>
              </w:rPr>
              <w:t xml:space="preserve">er feedback questionnaire </w:t>
            </w:r>
            <w:r w:rsidRPr="00F92F5E">
              <w:rPr>
                <w:rFonts w:eastAsia="Times New Roman"/>
                <w:sz w:val="24"/>
                <w:szCs w:val="24"/>
              </w:rPr>
              <w:t>is sent to those who have experienced a dwelling fire asking about their satisfaction and experience with the service they received from RBFRS.</w:t>
            </w:r>
          </w:p>
        </w:tc>
      </w:tr>
      <w:tr w:rsidR="00CD1882" w:rsidRPr="003D0D96" w:rsidTr="00CD1882">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21</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56247A">
            <w:pPr>
              <w:pStyle w:val="TableParagraph"/>
              <w:kinsoku w:val="0"/>
              <w:overflowPunct w:val="0"/>
              <w:spacing w:before="120" w:after="120"/>
              <w:ind w:left="0"/>
              <w:rPr>
                <w:sz w:val="24"/>
                <w:szCs w:val="24"/>
              </w:rPr>
            </w:pPr>
            <w:r w:rsidRPr="003D0D96">
              <w:rPr>
                <w:sz w:val="24"/>
                <w:szCs w:val="24"/>
              </w:rPr>
              <w:t>Percentage of commercial respondents satisfied with the overall</w:t>
            </w:r>
            <w:r w:rsidR="001C4077">
              <w:rPr>
                <w:sz w:val="24"/>
                <w:szCs w:val="24"/>
              </w:rPr>
              <w:t xml:space="preserve"> </w:t>
            </w:r>
            <w:r w:rsidR="0056247A">
              <w:rPr>
                <w:sz w:val="24"/>
                <w:szCs w:val="24"/>
              </w:rPr>
              <w:t>s</w:t>
            </w:r>
            <w:r w:rsidRPr="003D0D96">
              <w:rPr>
                <w:sz w:val="24"/>
                <w:szCs w:val="24"/>
              </w:rPr>
              <w:t>ervice</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F92F5E" w:rsidRDefault="00CD1882" w:rsidP="00E97164">
            <w:pPr>
              <w:pStyle w:val="TableParagraph"/>
              <w:kinsoku w:val="0"/>
              <w:overflowPunct w:val="0"/>
              <w:spacing w:before="120" w:after="120"/>
              <w:ind w:left="81"/>
              <w:rPr>
                <w:sz w:val="24"/>
                <w:szCs w:val="24"/>
              </w:rPr>
            </w:pPr>
            <w:r>
              <w:rPr>
                <w:rFonts w:eastAsia="Times New Roman"/>
                <w:sz w:val="24"/>
                <w:szCs w:val="24"/>
              </w:rPr>
              <w:t>A</w:t>
            </w:r>
            <w:r w:rsidRPr="00F92F5E">
              <w:rPr>
                <w:rFonts w:eastAsia="Times New Roman"/>
                <w:sz w:val="24"/>
                <w:szCs w:val="24"/>
              </w:rPr>
              <w:t xml:space="preserve"> custom</w:t>
            </w:r>
            <w:r>
              <w:rPr>
                <w:rFonts w:eastAsia="Times New Roman"/>
                <w:sz w:val="24"/>
                <w:szCs w:val="24"/>
              </w:rPr>
              <w:t xml:space="preserve">er feedback questionnaire </w:t>
            </w:r>
            <w:r w:rsidRPr="00F92F5E">
              <w:rPr>
                <w:rFonts w:eastAsia="Times New Roman"/>
                <w:sz w:val="24"/>
                <w:szCs w:val="24"/>
              </w:rPr>
              <w:t>is sent to business owners/ managers who have experienced a fire in their commercial premises asking about their satisfaction and experience</w:t>
            </w:r>
            <w:r w:rsidRPr="00F92F5E">
              <w:rPr>
                <w:rFonts w:eastAsia="Times New Roman"/>
                <w:spacing w:val="-21"/>
                <w:sz w:val="24"/>
                <w:szCs w:val="24"/>
              </w:rPr>
              <w:t xml:space="preserve"> </w:t>
            </w:r>
            <w:r w:rsidRPr="00F92F5E">
              <w:rPr>
                <w:rFonts w:eastAsia="Times New Roman"/>
                <w:sz w:val="24"/>
                <w:szCs w:val="24"/>
              </w:rPr>
              <w:t>with the service they received from RBFRS.</w:t>
            </w:r>
          </w:p>
        </w:tc>
      </w:tr>
      <w:tr w:rsidR="00CD1882" w:rsidRPr="003D0D96" w:rsidTr="00CD1882">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22</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Percentage of respondents satisfied with the services with regards to Fire Safety Audits</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F92F5E" w:rsidRDefault="00CD1882" w:rsidP="00E97164">
            <w:pPr>
              <w:pStyle w:val="TableParagraph"/>
              <w:kinsoku w:val="0"/>
              <w:overflowPunct w:val="0"/>
              <w:spacing w:before="120" w:after="120"/>
              <w:ind w:left="81"/>
              <w:rPr>
                <w:sz w:val="24"/>
                <w:szCs w:val="24"/>
              </w:rPr>
            </w:pPr>
            <w:r>
              <w:rPr>
                <w:rFonts w:eastAsia="Times New Roman"/>
                <w:sz w:val="24"/>
                <w:szCs w:val="24"/>
              </w:rPr>
              <w:t xml:space="preserve">A </w:t>
            </w:r>
            <w:r w:rsidRPr="00F92F5E">
              <w:rPr>
                <w:rFonts w:eastAsia="Times New Roman"/>
                <w:sz w:val="24"/>
                <w:szCs w:val="24"/>
              </w:rPr>
              <w:t>custom</w:t>
            </w:r>
            <w:r>
              <w:rPr>
                <w:rFonts w:eastAsia="Times New Roman"/>
                <w:sz w:val="24"/>
                <w:szCs w:val="24"/>
              </w:rPr>
              <w:t xml:space="preserve">er feedback questionnaire </w:t>
            </w:r>
            <w:r w:rsidRPr="00F92F5E">
              <w:rPr>
                <w:rFonts w:eastAsia="Times New Roman"/>
                <w:sz w:val="24"/>
                <w:szCs w:val="24"/>
              </w:rPr>
              <w:t>is sent to business owners/ managers who have had a full fire safety audit, asking about their satisfaction and experience with the service they received from RBFRS.</w:t>
            </w:r>
          </w:p>
        </w:tc>
      </w:tr>
      <w:tr w:rsidR="00CD1882" w:rsidRPr="003D0D96" w:rsidTr="00CD1882">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23</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 of domestic respondents satisfied with the service regards their Safe and Well Visit</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F92F5E" w:rsidRDefault="00CD1882" w:rsidP="00E97164">
            <w:pPr>
              <w:pStyle w:val="TableParagraph"/>
              <w:kinsoku w:val="0"/>
              <w:overflowPunct w:val="0"/>
              <w:spacing w:before="120" w:after="120"/>
              <w:ind w:left="81"/>
              <w:rPr>
                <w:sz w:val="24"/>
                <w:szCs w:val="24"/>
              </w:rPr>
            </w:pPr>
            <w:r>
              <w:rPr>
                <w:rFonts w:eastAsia="Times New Roman"/>
                <w:sz w:val="24"/>
                <w:szCs w:val="24"/>
              </w:rPr>
              <w:t xml:space="preserve">A </w:t>
            </w:r>
            <w:r w:rsidRPr="00F92F5E">
              <w:rPr>
                <w:rFonts w:eastAsia="Times New Roman"/>
                <w:sz w:val="24"/>
                <w:szCs w:val="24"/>
              </w:rPr>
              <w:t>custom</w:t>
            </w:r>
            <w:r>
              <w:rPr>
                <w:rFonts w:eastAsia="Times New Roman"/>
                <w:sz w:val="24"/>
                <w:szCs w:val="24"/>
              </w:rPr>
              <w:t xml:space="preserve">er feedback questionnaire </w:t>
            </w:r>
            <w:r w:rsidRPr="00F92F5E">
              <w:rPr>
                <w:rFonts w:eastAsia="Times New Roman"/>
                <w:sz w:val="24"/>
                <w:szCs w:val="24"/>
              </w:rPr>
              <w:t>is sent to a sample of individuals who have received a Safe and Well Visit and asks about their satisfaction and experience with the service they received from RBFRS.</w:t>
            </w:r>
          </w:p>
        </w:tc>
      </w:tr>
      <w:tr w:rsidR="00CD1882" w:rsidRPr="003D0D96" w:rsidTr="00CD1882">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24</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Number of complaints received</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F92F5E" w:rsidRDefault="00CD1882" w:rsidP="00E97164">
            <w:pPr>
              <w:pStyle w:val="TableParagraph"/>
              <w:kinsoku w:val="0"/>
              <w:overflowPunct w:val="0"/>
              <w:spacing w:before="120" w:after="120"/>
              <w:ind w:left="81"/>
              <w:rPr>
                <w:sz w:val="24"/>
                <w:szCs w:val="24"/>
              </w:rPr>
            </w:pPr>
            <w:r w:rsidRPr="00F92F5E">
              <w:rPr>
                <w:rFonts w:eastAsia="Times New Roman"/>
                <w:sz w:val="24"/>
                <w:szCs w:val="24"/>
              </w:rPr>
              <w:t>The number of complaints made to RBFRS about any aspect of our service or staff.</w:t>
            </w:r>
          </w:p>
        </w:tc>
      </w:tr>
      <w:tr w:rsidR="00CD1882" w:rsidRPr="003D0D96" w:rsidTr="00CD1882">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25</w:t>
            </w:r>
          </w:p>
        </w:tc>
        <w:tc>
          <w:tcPr>
            <w:tcW w:w="5123" w:type="dxa"/>
            <w:tcBorders>
              <w:top w:val="single" w:sz="8" w:space="0" w:color="231F20"/>
              <w:left w:val="single" w:sz="8" w:space="0" w:color="231F20"/>
              <w:bottom w:val="single" w:sz="8" w:space="0" w:color="231F20"/>
              <w:right w:val="single" w:sz="8" w:space="0" w:color="231F20"/>
            </w:tcBorders>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 xml:space="preserve">Number of compliments received </w:t>
            </w:r>
          </w:p>
        </w:tc>
        <w:tc>
          <w:tcPr>
            <w:tcW w:w="4866" w:type="dxa"/>
            <w:tcBorders>
              <w:top w:val="single" w:sz="8" w:space="0" w:color="231F20"/>
              <w:left w:val="single" w:sz="8" w:space="0" w:color="231F20"/>
              <w:bottom w:val="single" w:sz="8" w:space="0" w:color="231F20"/>
              <w:right w:val="single" w:sz="8" w:space="0" w:color="231F20"/>
            </w:tcBorders>
            <w:vAlign w:val="center"/>
          </w:tcPr>
          <w:p w:rsidR="00CD1882" w:rsidRPr="00F92F5E" w:rsidRDefault="00CD1882" w:rsidP="00E97164">
            <w:pPr>
              <w:pStyle w:val="TableParagraph"/>
              <w:kinsoku w:val="0"/>
              <w:overflowPunct w:val="0"/>
              <w:spacing w:before="120" w:after="120"/>
              <w:ind w:left="81"/>
              <w:rPr>
                <w:sz w:val="24"/>
                <w:szCs w:val="24"/>
              </w:rPr>
            </w:pPr>
            <w:r w:rsidRPr="00F92F5E">
              <w:rPr>
                <w:rFonts w:eastAsia="Times New Roman"/>
                <w:sz w:val="24"/>
                <w:szCs w:val="24"/>
              </w:rPr>
              <w:t>The number of compliments received by RBFRS about any aspect of our service or staff.</w:t>
            </w:r>
          </w:p>
        </w:tc>
      </w:tr>
    </w:tbl>
    <w:p w:rsidR="005A7712" w:rsidRDefault="005A7712"/>
    <w:p w:rsidR="00CD1882" w:rsidRDefault="00CD1882">
      <w:r>
        <w:br w:type="page"/>
      </w:r>
    </w:p>
    <w:p w:rsidR="00CD1882" w:rsidRPr="00CD1882" w:rsidRDefault="00CD1882" w:rsidP="00CD1882">
      <w:pPr>
        <w:rPr>
          <w:rFonts w:cstheme="minorHAnsi"/>
          <w:b/>
          <w:sz w:val="40"/>
          <w:szCs w:val="40"/>
        </w:rPr>
      </w:pPr>
      <w:r w:rsidRPr="00CD1882">
        <w:rPr>
          <w:rFonts w:cstheme="minorHAnsi"/>
          <w:b/>
          <w:sz w:val="40"/>
          <w:szCs w:val="40"/>
        </w:rPr>
        <w:lastRenderedPageBreak/>
        <w:t>Corporate Health</w:t>
      </w:r>
    </w:p>
    <w:tbl>
      <w:tblPr>
        <w:tblpPr w:leftFromText="180" w:rightFromText="180" w:vertAnchor="text" w:horzAnchor="margin" w:tblpY="3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
        <w:gridCol w:w="4334"/>
        <w:gridCol w:w="5245"/>
      </w:tblGrid>
      <w:tr w:rsidR="00CD1882" w:rsidRPr="003D0D96" w:rsidTr="00E97164">
        <w:trPr>
          <w:trHeight w:val="674"/>
        </w:trPr>
        <w:tc>
          <w:tcPr>
            <w:tcW w:w="481" w:type="dxa"/>
            <w:shd w:val="clear" w:color="auto" w:fill="DBDBDB" w:themeFill="background2"/>
            <w:vAlign w:val="center"/>
          </w:tcPr>
          <w:p w:rsidR="00CD1882" w:rsidRPr="003D0D96" w:rsidRDefault="00CD1882" w:rsidP="00E97164">
            <w:pPr>
              <w:pStyle w:val="TableParagraph"/>
              <w:kinsoku w:val="0"/>
              <w:overflowPunct w:val="0"/>
              <w:spacing w:before="120" w:after="120"/>
              <w:rPr>
                <w:b/>
                <w:bCs/>
                <w:sz w:val="24"/>
                <w:szCs w:val="24"/>
              </w:rPr>
            </w:pPr>
            <w:r w:rsidRPr="003D0D96">
              <w:rPr>
                <w:b/>
                <w:bCs/>
                <w:sz w:val="24"/>
                <w:szCs w:val="24"/>
              </w:rPr>
              <w:t>ID</w:t>
            </w:r>
          </w:p>
        </w:tc>
        <w:tc>
          <w:tcPr>
            <w:tcW w:w="4334" w:type="dxa"/>
            <w:shd w:val="clear" w:color="auto" w:fill="DBDBDB" w:themeFill="background2"/>
            <w:vAlign w:val="center"/>
          </w:tcPr>
          <w:p w:rsidR="00CD1882" w:rsidRPr="003D0D96" w:rsidRDefault="00CD1882" w:rsidP="00E97164">
            <w:pPr>
              <w:pStyle w:val="TableParagraph"/>
              <w:kinsoku w:val="0"/>
              <w:overflowPunct w:val="0"/>
              <w:spacing w:before="120" w:after="120"/>
              <w:rPr>
                <w:b/>
                <w:bCs/>
                <w:sz w:val="24"/>
                <w:szCs w:val="24"/>
              </w:rPr>
            </w:pPr>
            <w:r w:rsidRPr="003D0D96">
              <w:rPr>
                <w:b/>
                <w:bCs/>
                <w:sz w:val="24"/>
                <w:szCs w:val="24"/>
              </w:rPr>
              <w:t>Measure</w:t>
            </w:r>
          </w:p>
        </w:tc>
        <w:tc>
          <w:tcPr>
            <w:tcW w:w="5245" w:type="dxa"/>
            <w:shd w:val="clear" w:color="auto" w:fill="DBDBDB" w:themeFill="background2"/>
            <w:vAlign w:val="center"/>
          </w:tcPr>
          <w:p w:rsidR="00CD1882" w:rsidRPr="003D0D96" w:rsidRDefault="00CD1882" w:rsidP="00E97164">
            <w:pPr>
              <w:pStyle w:val="TableParagraph"/>
              <w:kinsoku w:val="0"/>
              <w:overflowPunct w:val="0"/>
              <w:spacing w:before="120" w:after="120"/>
              <w:ind w:left="81"/>
              <w:rPr>
                <w:b/>
                <w:bCs/>
                <w:sz w:val="24"/>
                <w:szCs w:val="24"/>
              </w:rPr>
            </w:pPr>
            <w:r>
              <w:rPr>
                <w:b/>
                <w:bCs/>
                <w:sz w:val="24"/>
                <w:szCs w:val="24"/>
              </w:rPr>
              <w:t>Definition</w:t>
            </w:r>
          </w:p>
        </w:tc>
      </w:tr>
      <w:tr w:rsidR="00CD1882" w:rsidRPr="003D0D96" w:rsidTr="00E97164">
        <w:trPr>
          <w:trHeight w:val="454"/>
        </w:trPr>
        <w:tc>
          <w:tcPr>
            <w:tcW w:w="10060" w:type="dxa"/>
            <w:gridSpan w:val="3"/>
            <w:shd w:val="clear" w:color="auto" w:fill="DBDBDB" w:themeFill="background2"/>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Human Resources and Learning &amp; Development</w:t>
            </w:r>
          </w:p>
        </w:tc>
      </w:tr>
      <w:tr w:rsidR="00CD1882" w:rsidRPr="003D0D96" w:rsidTr="00E97164">
        <w:trPr>
          <w:trHeight w:val="397"/>
        </w:trPr>
        <w:tc>
          <w:tcPr>
            <w:tcW w:w="481"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26</w:t>
            </w:r>
          </w:p>
        </w:tc>
        <w:tc>
          <w:tcPr>
            <w:tcW w:w="4334"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Percentage of working time lost to sickness across all staff groups</w:t>
            </w:r>
          </w:p>
        </w:tc>
        <w:tc>
          <w:tcPr>
            <w:tcW w:w="5245" w:type="dxa"/>
            <w:vAlign w:val="center"/>
          </w:tcPr>
          <w:p w:rsidR="00CD1882" w:rsidRPr="003D0D96" w:rsidRDefault="00CD1882" w:rsidP="00E97164">
            <w:pPr>
              <w:pStyle w:val="TableParagraph"/>
              <w:kinsoku w:val="0"/>
              <w:overflowPunct w:val="0"/>
              <w:spacing w:before="120" w:after="120"/>
              <w:ind w:left="81"/>
              <w:rPr>
                <w:sz w:val="24"/>
                <w:szCs w:val="24"/>
              </w:rPr>
            </w:pPr>
            <w:r w:rsidRPr="003A7C29">
              <w:rPr>
                <w:sz w:val="24"/>
                <w:szCs w:val="24"/>
              </w:rPr>
              <w:t xml:space="preserve">This measure looks at sickness across the whole organisation and the percentage of time lost, based on the number of working hours available to the organisation. </w:t>
            </w:r>
          </w:p>
        </w:tc>
      </w:tr>
      <w:tr w:rsidR="00CD1882" w:rsidRPr="003D0D96" w:rsidTr="00E97164">
        <w:trPr>
          <w:trHeight w:val="397"/>
        </w:trPr>
        <w:tc>
          <w:tcPr>
            <w:tcW w:w="481"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27</w:t>
            </w:r>
          </w:p>
        </w:tc>
        <w:tc>
          <w:tcPr>
            <w:tcW w:w="4334"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Percentage of eligible staff with Personal Development Reviews</w:t>
            </w:r>
          </w:p>
        </w:tc>
        <w:tc>
          <w:tcPr>
            <w:tcW w:w="5245" w:type="dxa"/>
            <w:vAlign w:val="center"/>
          </w:tcPr>
          <w:p w:rsidR="00CD1882" w:rsidRPr="003A7C29" w:rsidRDefault="00CD1882" w:rsidP="00E97164">
            <w:pPr>
              <w:pStyle w:val="TableParagraph"/>
              <w:kinsoku w:val="0"/>
              <w:overflowPunct w:val="0"/>
              <w:spacing w:before="120" w:after="120"/>
              <w:ind w:left="81"/>
              <w:rPr>
                <w:sz w:val="24"/>
                <w:szCs w:val="24"/>
              </w:rPr>
            </w:pPr>
            <w:r w:rsidRPr="003A7C29">
              <w:rPr>
                <w:rFonts w:eastAsia="Times New Roman"/>
                <w:sz w:val="24"/>
                <w:szCs w:val="24"/>
              </w:rPr>
              <w:t>This measure reflects the percentage of eligible employees who have had a Personal Development Review meeting. Eligible staff are those who have completed their initial probation period, before the end of the PDR period and who have not been absent for over 50% of the reporting period. Employees moving within the Organisation to new roles on trial or probation periods</w:t>
            </w:r>
            <w:r w:rsidRPr="003A7C29">
              <w:rPr>
                <w:rFonts w:eastAsia="Times New Roman"/>
                <w:spacing w:val="-26"/>
                <w:sz w:val="24"/>
                <w:szCs w:val="24"/>
              </w:rPr>
              <w:t xml:space="preserve"> </w:t>
            </w:r>
            <w:r w:rsidRPr="003A7C29">
              <w:rPr>
                <w:rFonts w:eastAsia="Times New Roman"/>
                <w:sz w:val="24"/>
                <w:szCs w:val="24"/>
              </w:rPr>
              <w:t>will still be eligible for a PDR.</w:t>
            </w:r>
          </w:p>
        </w:tc>
      </w:tr>
      <w:tr w:rsidR="00CD1882" w:rsidRPr="003D0D96" w:rsidTr="00E97164">
        <w:trPr>
          <w:trHeight w:val="397"/>
        </w:trPr>
        <w:tc>
          <w:tcPr>
            <w:tcW w:w="481"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28</w:t>
            </w:r>
          </w:p>
        </w:tc>
        <w:tc>
          <w:tcPr>
            <w:tcW w:w="4334"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 xml:space="preserve">Number of formal grievances </w:t>
            </w:r>
          </w:p>
        </w:tc>
        <w:tc>
          <w:tcPr>
            <w:tcW w:w="5245" w:type="dxa"/>
            <w:vAlign w:val="center"/>
          </w:tcPr>
          <w:p w:rsidR="00CD1882" w:rsidRPr="003D0D96" w:rsidRDefault="00CD1882" w:rsidP="00E97164">
            <w:pPr>
              <w:pStyle w:val="TableParagraph"/>
              <w:kinsoku w:val="0"/>
              <w:overflowPunct w:val="0"/>
              <w:spacing w:before="120" w:after="120"/>
              <w:ind w:left="81"/>
              <w:rPr>
                <w:sz w:val="24"/>
                <w:szCs w:val="24"/>
              </w:rPr>
            </w:pPr>
            <w:r w:rsidRPr="003A7C29">
              <w:rPr>
                <w:sz w:val="24"/>
                <w:szCs w:val="24"/>
              </w:rPr>
              <w:t xml:space="preserve">The number of formal grievances raised by staff under the Grievance, Bullying and </w:t>
            </w:r>
            <w:proofErr w:type="spellStart"/>
            <w:r w:rsidRPr="003A7C29">
              <w:rPr>
                <w:sz w:val="24"/>
                <w:szCs w:val="24"/>
              </w:rPr>
              <w:t>Harrassment</w:t>
            </w:r>
            <w:proofErr w:type="spellEnd"/>
            <w:r w:rsidRPr="003A7C29">
              <w:rPr>
                <w:sz w:val="24"/>
                <w:szCs w:val="24"/>
              </w:rPr>
              <w:t xml:space="preserve"> Policy.</w:t>
            </w:r>
          </w:p>
        </w:tc>
      </w:tr>
      <w:tr w:rsidR="00CD1882" w:rsidRPr="003D0D96" w:rsidTr="00E97164">
        <w:trPr>
          <w:trHeight w:val="397"/>
        </w:trPr>
        <w:tc>
          <w:tcPr>
            <w:tcW w:w="10060" w:type="dxa"/>
            <w:gridSpan w:val="3"/>
            <w:shd w:val="clear" w:color="auto" w:fill="DBDBDB" w:themeFill="background2"/>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Health and Safety</w:t>
            </w:r>
          </w:p>
        </w:tc>
      </w:tr>
      <w:tr w:rsidR="00CD1882" w:rsidRPr="003D0D96" w:rsidTr="00E97164">
        <w:trPr>
          <w:trHeight w:val="397"/>
        </w:trPr>
        <w:tc>
          <w:tcPr>
            <w:tcW w:w="481"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29</w:t>
            </w:r>
          </w:p>
        </w:tc>
        <w:tc>
          <w:tcPr>
            <w:tcW w:w="4334"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Number of RIDDOR accidents and diseases</w:t>
            </w:r>
          </w:p>
        </w:tc>
        <w:tc>
          <w:tcPr>
            <w:tcW w:w="5245" w:type="dxa"/>
            <w:vAlign w:val="center"/>
          </w:tcPr>
          <w:p w:rsidR="00CD1882" w:rsidRPr="003D0D96" w:rsidRDefault="00CD1882" w:rsidP="00E97164">
            <w:pPr>
              <w:pStyle w:val="TableParagraph"/>
              <w:kinsoku w:val="0"/>
              <w:overflowPunct w:val="0"/>
              <w:spacing w:before="120" w:after="120"/>
              <w:ind w:left="81"/>
              <w:rPr>
                <w:sz w:val="24"/>
                <w:szCs w:val="24"/>
              </w:rPr>
            </w:pPr>
            <w:r w:rsidRPr="003A7C29">
              <w:rPr>
                <w:sz w:val="24"/>
                <w:szCs w:val="24"/>
              </w:rPr>
              <w:t>RIDDOR</w:t>
            </w:r>
            <w:r>
              <w:rPr>
                <w:sz w:val="24"/>
                <w:szCs w:val="24"/>
              </w:rPr>
              <w:t xml:space="preserve"> </w:t>
            </w:r>
            <w:r w:rsidRPr="003A7C29">
              <w:rPr>
                <w:sz w:val="24"/>
                <w:szCs w:val="24"/>
              </w:rPr>
              <w:t>(Reporting of Injuries Diseases an</w:t>
            </w:r>
            <w:r>
              <w:rPr>
                <w:sz w:val="24"/>
                <w:szCs w:val="24"/>
              </w:rPr>
              <w:t>d Dangerou</w:t>
            </w:r>
            <w:r w:rsidRPr="003A7C29">
              <w:rPr>
                <w:sz w:val="24"/>
                <w:szCs w:val="24"/>
              </w:rPr>
              <w:t>s Occurrences Regulations) are more serious injury accidents</w:t>
            </w:r>
            <w:r>
              <w:rPr>
                <w:sz w:val="24"/>
                <w:szCs w:val="24"/>
              </w:rPr>
              <w:t xml:space="preserve"> and diseases</w:t>
            </w:r>
            <w:r w:rsidRPr="003A7C29">
              <w:rPr>
                <w:sz w:val="24"/>
                <w:szCs w:val="24"/>
              </w:rPr>
              <w:t>.</w:t>
            </w:r>
          </w:p>
        </w:tc>
      </w:tr>
      <w:tr w:rsidR="00CD1882" w:rsidRPr="003D0D96" w:rsidTr="00E97164">
        <w:trPr>
          <w:trHeight w:val="454"/>
        </w:trPr>
        <w:tc>
          <w:tcPr>
            <w:tcW w:w="10060" w:type="dxa"/>
            <w:gridSpan w:val="3"/>
            <w:shd w:val="clear" w:color="auto" w:fill="DBDBDB" w:themeFill="background2"/>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Finance and Procurement</w:t>
            </w:r>
          </w:p>
        </w:tc>
      </w:tr>
      <w:tr w:rsidR="00CD1882" w:rsidRPr="003D0D96" w:rsidTr="00E97164">
        <w:trPr>
          <w:trHeight w:val="397"/>
        </w:trPr>
        <w:tc>
          <w:tcPr>
            <w:tcW w:w="481"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30</w:t>
            </w:r>
          </w:p>
        </w:tc>
        <w:tc>
          <w:tcPr>
            <w:tcW w:w="4334"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Percentage of spend subject to competition</w:t>
            </w:r>
          </w:p>
        </w:tc>
        <w:tc>
          <w:tcPr>
            <w:tcW w:w="5245" w:type="dxa"/>
            <w:tcBorders>
              <w:top w:val="single" w:sz="8" w:space="0" w:color="231F20"/>
              <w:left w:val="single" w:sz="8" w:space="0" w:color="231F20"/>
              <w:bottom w:val="single" w:sz="8" w:space="0" w:color="231F20"/>
              <w:right w:val="single" w:sz="8" w:space="0" w:color="231F20"/>
            </w:tcBorders>
            <w:vAlign w:val="center"/>
          </w:tcPr>
          <w:p w:rsidR="00CD1882" w:rsidRPr="003A7C29" w:rsidRDefault="00CD1882" w:rsidP="00E97164">
            <w:pPr>
              <w:widowControl w:val="0"/>
              <w:kinsoku w:val="0"/>
              <w:overflowPunct w:val="0"/>
              <w:autoSpaceDE w:val="0"/>
              <w:autoSpaceDN w:val="0"/>
              <w:adjustRightInd w:val="0"/>
              <w:spacing w:before="60" w:after="60" w:line="240" w:lineRule="auto"/>
              <w:ind w:left="57" w:right="57"/>
              <w:rPr>
                <w:rFonts w:eastAsia="Times New Roman" w:cs="Arial"/>
                <w:lang w:eastAsia="en-GB"/>
              </w:rPr>
            </w:pPr>
            <w:r w:rsidRPr="003A7C29">
              <w:rPr>
                <w:rFonts w:eastAsia="Times New Roman" w:cs="Arial"/>
                <w:lang w:eastAsia="en-GB"/>
              </w:rPr>
              <w:t>This measure looks at all items of expenditure over £10k as RBFA must obtain quotes or tenders for all these purchases.</w:t>
            </w:r>
          </w:p>
          <w:p w:rsidR="00CD1882" w:rsidRPr="003A7C29" w:rsidRDefault="00CD1882" w:rsidP="00E97164">
            <w:pPr>
              <w:pStyle w:val="TableParagraph"/>
              <w:kinsoku w:val="0"/>
              <w:overflowPunct w:val="0"/>
              <w:spacing w:before="120" w:after="120"/>
              <w:ind w:left="81"/>
              <w:rPr>
                <w:sz w:val="24"/>
                <w:szCs w:val="24"/>
              </w:rPr>
            </w:pPr>
            <w:r w:rsidRPr="003A7C29">
              <w:rPr>
                <w:rFonts w:eastAsia="Times New Roman"/>
                <w:sz w:val="24"/>
                <w:szCs w:val="24"/>
              </w:rPr>
              <w:t>This excludes statutory payments such as local authority charges or HMRC.</w:t>
            </w:r>
          </w:p>
        </w:tc>
      </w:tr>
      <w:tr w:rsidR="00CD1882" w:rsidRPr="003D0D96" w:rsidTr="00E97164">
        <w:trPr>
          <w:trHeight w:val="397"/>
        </w:trPr>
        <w:tc>
          <w:tcPr>
            <w:tcW w:w="481"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31</w:t>
            </w:r>
          </w:p>
        </w:tc>
        <w:tc>
          <w:tcPr>
            <w:tcW w:w="4334"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t>Compliant spend as a percentage of overall spend</w:t>
            </w:r>
          </w:p>
        </w:tc>
        <w:tc>
          <w:tcPr>
            <w:tcW w:w="5245" w:type="dxa"/>
            <w:tcBorders>
              <w:top w:val="single" w:sz="8" w:space="0" w:color="231F20"/>
              <w:left w:val="single" w:sz="8" w:space="0" w:color="231F20"/>
              <w:bottom w:val="single" w:sz="8" w:space="0" w:color="231F20"/>
              <w:right w:val="single" w:sz="8" w:space="0" w:color="231F20"/>
            </w:tcBorders>
            <w:vAlign w:val="center"/>
          </w:tcPr>
          <w:p w:rsidR="00CD1882" w:rsidRPr="003A7C29" w:rsidRDefault="00CD1882" w:rsidP="00E97164">
            <w:pPr>
              <w:pStyle w:val="TableParagraph"/>
              <w:kinsoku w:val="0"/>
              <w:overflowPunct w:val="0"/>
              <w:spacing w:before="120" w:after="120"/>
              <w:ind w:left="81"/>
              <w:rPr>
                <w:sz w:val="24"/>
                <w:szCs w:val="24"/>
              </w:rPr>
            </w:pPr>
            <w:r w:rsidRPr="003A7C29">
              <w:rPr>
                <w:rFonts w:eastAsia="Times New Roman"/>
                <w:sz w:val="24"/>
                <w:szCs w:val="24"/>
              </w:rPr>
              <w:t>This measure calculates the supplier spend that is in a compliant contract as a percentage of the total spend to external bodies and suppliers (as per RBFA contract regulations).</w:t>
            </w:r>
          </w:p>
        </w:tc>
      </w:tr>
      <w:tr w:rsidR="00CD1882" w:rsidRPr="003D0D96" w:rsidTr="00E97164">
        <w:trPr>
          <w:trHeight w:val="454"/>
        </w:trPr>
        <w:tc>
          <w:tcPr>
            <w:tcW w:w="10060" w:type="dxa"/>
            <w:gridSpan w:val="3"/>
            <w:shd w:val="clear" w:color="auto" w:fill="DBDBDB" w:themeFill="background2"/>
            <w:vAlign w:val="center"/>
          </w:tcPr>
          <w:p w:rsidR="00CD1882" w:rsidRPr="003D0D96" w:rsidRDefault="00CD1882" w:rsidP="00E97164">
            <w:pPr>
              <w:pStyle w:val="TableParagraph"/>
              <w:kinsoku w:val="0"/>
              <w:overflowPunct w:val="0"/>
              <w:spacing w:before="120" w:after="120"/>
              <w:ind w:left="81"/>
              <w:rPr>
                <w:sz w:val="24"/>
                <w:szCs w:val="24"/>
              </w:rPr>
            </w:pPr>
            <w:r w:rsidRPr="003D0D96">
              <w:rPr>
                <w:sz w:val="24"/>
                <w:szCs w:val="24"/>
              </w:rPr>
              <w:t>Freedom of Information</w:t>
            </w:r>
          </w:p>
        </w:tc>
      </w:tr>
      <w:tr w:rsidR="00CD1882" w:rsidRPr="003D0D96" w:rsidTr="00E97164">
        <w:trPr>
          <w:trHeight w:val="397"/>
        </w:trPr>
        <w:tc>
          <w:tcPr>
            <w:tcW w:w="481" w:type="dxa"/>
            <w:vAlign w:val="center"/>
          </w:tcPr>
          <w:p w:rsidR="00CD1882" w:rsidRPr="003D0D96" w:rsidRDefault="00CD1882" w:rsidP="00E97164">
            <w:pPr>
              <w:pStyle w:val="TableParagraph"/>
              <w:kinsoku w:val="0"/>
              <w:overflowPunct w:val="0"/>
              <w:spacing w:before="120" w:after="120"/>
              <w:rPr>
                <w:sz w:val="24"/>
                <w:szCs w:val="24"/>
              </w:rPr>
            </w:pPr>
            <w:r w:rsidRPr="003D0D96">
              <w:rPr>
                <w:sz w:val="24"/>
                <w:szCs w:val="24"/>
              </w:rPr>
              <w:lastRenderedPageBreak/>
              <w:t>32</w:t>
            </w:r>
          </w:p>
        </w:tc>
        <w:tc>
          <w:tcPr>
            <w:tcW w:w="4334" w:type="dxa"/>
            <w:vAlign w:val="center"/>
          </w:tcPr>
          <w:p w:rsidR="00CD1882" w:rsidRPr="003D0D96" w:rsidRDefault="00CD1882" w:rsidP="00E97164">
            <w:pPr>
              <w:pStyle w:val="TableParagraph"/>
              <w:kinsoku w:val="0"/>
              <w:overflowPunct w:val="0"/>
              <w:spacing w:before="120" w:after="120"/>
              <w:ind w:left="79" w:right="85"/>
              <w:rPr>
                <w:sz w:val="24"/>
                <w:szCs w:val="24"/>
              </w:rPr>
            </w:pPr>
            <w:r w:rsidRPr="003D0D96">
              <w:rPr>
                <w:sz w:val="24"/>
                <w:szCs w:val="24"/>
              </w:rPr>
              <w:t>Number of Information Commissioner assessments finding that the Service has breached Information Rights Legislation (Freedom of Information Act, Environmental Regulations or Data Protection Legislation)</w:t>
            </w:r>
          </w:p>
        </w:tc>
        <w:tc>
          <w:tcPr>
            <w:tcW w:w="5245" w:type="dxa"/>
            <w:vAlign w:val="center"/>
          </w:tcPr>
          <w:p w:rsidR="00CD1882" w:rsidRPr="003D0D96" w:rsidRDefault="00CD1882" w:rsidP="00E97164">
            <w:pPr>
              <w:pStyle w:val="TableParagraph"/>
              <w:kinsoku w:val="0"/>
              <w:overflowPunct w:val="0"/>
              <w:spacing w:before="120" w:after="120"/>
              <w:ind w:left="81"/>
              <w:rPr>
                <w:sz w:val="24"/>
                <w:szCs w:val="24"/>
              </w:rPr>
            </w:pPr>
            <w:r w:rsidRPr="003A7C29">
              <w:rPr>
                <w:sz w:val="24"/>
                <w:szCs w:val="24"/>
              </w:rPr>
              <w:t>RBFRS are required to conform to Data Protection and Freedom of Information legislation. The Information Commissioner is responsible for determining compliance and issuing advice or penalties. This measure includes only incidents where there is a finding of a breach (not complaints which are subsequently dismissed).</w:t>
            </w:r>
          </w:p>
        </w:tc>
      </w:tr>
    </w:tbl>
    <w:p w:rsidR="00CD1882" w:rsidRDefault="00CD1882"/>
    <w:p w:rsidR="00DD4B76" w:rsidRPr="00621123" w:rsidRDefault="00DD4B76"/>
    <w:p w:rsidR="00A33018" w:rsidRPr="00621123" w:rsidRDefault="00A33018">
      <w:pPr>
        <w:sectPr w:rsidR="00A33018" w:rsidRPr="00621123" w:rsidSect="00A33018">
          <w:headerReference w:type="default" r:id="rId28"/>
          <w:footerReference w:type="default" r:id="rId29"/>
          <w:pgSz w:w="11906" w:h="16838" w:code="9"/>
          <w:pgMar w:top="720" w:right="720" w:bottom="720" w:left="720" w:header="794" w:footer="851" w:gutter="0"/>
          <w:cols w:space="708"/>
          <w:docGrid w:linePitch="360"/>
        </w:sectPr>
      </w:pPr>
    </w:p>
    <w:p w:rsidR="00F567FF" w:rsidRPr="00621123" w:rsidRDefault="00F567FF" w:rsidP="00056887"/>
    <w:sectPr w:rsidR="00F567FF" w:rsidRPr="00621123" w:rsidSect="00A33018">
      <w:headerReference w:type="default" r:id="rId30"/>
      <w:footerReference w:type="default" r:id="rId31"/>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EA7" w:rsidRDefault="00375EA7" w:rsidP="00A33018">
      <w:pPr>
        <w:spacing w:after="0" w:line="240" w:lineRule="auto"/>
      </w:pPr>
      <w:r>
        <w:separator/>
      </w:r>
    </w:p>
  </w:endnote>
  <w:endnote w:type="continuationSeparator" w:id="0">
    <w:p w:rsidR="00375EA7" w:rsidRDefault="00375EA7"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Default="00375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Default="00375E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Default="00375E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Default="00375EA7" w:rsidP="00884AA0">
    <w:pPr>
      <w:pStyle w:val="Footer"/>
    </w:pPr>
    <w:r>
      <w:rPr>
        <w:lang w:eastAsia="en-GB"/>
      </w:rPr>
      <w:drawing>
        <wp:anchor distT="0" distB="0" distL="114300" distR="114300" simplePos="0" relativeHeight="251679231" behindDoc="1" locked="0" layoutInCell="1" allowOverlap="1" wp14:anchorId="64CBE3A3" wp14:editId="4C9DDB16">
          <wp:simplePos x="0" y="0"/>
          <wp:positionH relativeFrom="page">
            <wp:posOffset>5124450</wp:posOffset>
          </wp:positionH>
          <wp:positionV relativeFrom="page">
            <wp:posOffset>9015866</wp:posOffset>
          </wp:positionV>
          <wp:extent cx="2435833" cy="1677534"/>
          <wp:effectExtent l="0" t="0" r="3175" b="0"/>
          <wp:wrapNone/>
          <wp:docPr id="181" name="Picture 181"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33F7625F" wp14:editId="1E5779C1">
          <wp:extent cx="2206756" cy="353569"/>
          <wp:effectExtent l="0" t="0" r="3175" b="8890"/>
          <wp:docPr id="3" name="Picture 3" descr="RBFR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500A82">
      <w:t>21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Default="00375EA7" w:rsidP="00884AA0">
    <w:pPr>
      <w:pStyle w:val="Footer"/>
    </w:pPr>
    <w:r>
      <w:rPr>
        <w:lang w:eastAsia="en-GB"/>
      </w:rPr>
      <mc:AlternateContent>
        <mc:Choice Requires="wps">
          <w:drawing>
            <wp:anchor distT="0" distB="0" distL="114300" distR="114300" simplePos="0" relativeHeight="251669504" behindDoc="0" locked="0" layoutInCell="1" allowOverlap="1" wp14:anchorId="75439E33" wp14:editId="5BCF34D9">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52F85EC1" wp14:editId="12CE1879">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4F3056E2" wp14:editId="5BFC128E">
                                <wp:extent cx="150876" cy="131064"/>
                                <wp:effectExtent l="0" t="0" r="1905" b="2540"/>
                                <wp:docPr id="12" name="Picture 12"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w:t>
                          </w:r>
                          <w:proofErr w:type="spellStart"/>
                          <w:r w:rsidRPr="00295F48">
                            <w:rPr>
                              <w:sz w:val="28"/>
                              <w:szCs w:val="28"/>
                            </w:rPr>
                            <w:t>RBFRSOfficial</w:t>
                          </w:r>
                          <w:proofErr w:type="spellEnd"/>
                        </w:p>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4933C1E4" wp14:editId="4B1B3E0C">
                                <wp:extent cx="150876" cy="150876"/>
                                <wp:effectExtent l="0" t="0" r="1905" b="1905"/>
                                <wp:docPr id="13" name="Picture 13"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1ADA76E4" wp14:editId="768D0BA8">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6F1F6CDE" wp14:editId="4E5EF279">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439E33" id="_x0000_t202" coordsize="21600,21600" o:spt="202" path="m,l,21600r21600,l21600,xe">
              <v:stroke joinstyle="miter"/>
              <v:path gradientshapeok="t" o:connecttype="rect"/>
            </v:shapetype>
            <v:shape id="Social media textbox" o:spid="_x0000_s1042" type="#_x0000_t202" style="position:absolute;margin-left:0;margin-top:714.3pt;width:318.3pt;height: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52F85EC1" wp14:editId="12CE1879">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4F3056E2" wp14:editId="5BFC128E">
                          <wp:extent cx="150876" cy="131064"/>
                          <wp:effectExtent l="0" t="0" r="1905" b="2540"/>
                          <wp:docPr id="12" name="Picture 12"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w:t>
                    </w:r>
                    <w:proofErr w:type="spellStart"/>
                    <w:r w:rsidRPr="00295F48">
                      <w:rPr>
                        <w:sz w:val="28"/>
                        <w:szCs w:val="28"/>
                      </w:rPr>
                      <w:t>RBFRSOfficial</w:t>
                    </w:r>
                    <w:proofErr w:type="spellEnd"/>
                  </w:p>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4933C1E4" wp14:editId="4B1B3E0C">
                          <wp:extent cx="150876" cy="150876"/>
                          <wp:effectExtent l="0" t="0" r="1905" b="1905"/>
                          <wp:docPr id="13" name="Picture 13"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1ADA76E4" wp14:editId="768D0BA8">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rsidR="00375EA7" w:rsidRPr="00295F48" w:rsidRDefault="00375EA7" w:rsidP="00295F48">
                    <w:pPr>
                      <w:tabs>
                        <w:tab w:val="left" w:pos="567"/>
                      </w:tabs>
                      <w:spacing w:after="0" w:line="360" w:lineRule="atLeast"/>
                      <w:rPr>
                        <w:sz w:val="28"/>
                        <w:szCs w:val="28"/>
                      </w:rPr>
                    </w:pPr>
                    <w:r>
                      <w:rPr>
                        <w:noProof/>
                        <w:sz w:val="28"/>
                        <w:szCs w:val="28"/>
                        <w:lang w:eastAsia="en-GB"/>
                      </w:rPr>
                      <w:drawing>
                        <wp:inline distT="0" distB="0" distL="0" distR="0" wp14:anchorId="6F1F6CDE" wp14:editId="4E5EF279">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68480" behindDoc="0" locked="0" layoutInCell="1" allowOverlap="1" wp14:anchorId="5E4930C9" wp14:editId="76149FCF">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67456" behindDoc="0" locked="0" layoutInCell="1" allowOverlap="1" wp14:anchorId="7C8F78F7" wp14:editId="12637511">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158CF" id="White Rectangle" o:spid="_x0000_s1026" alt="decorative" style="position:absolute;margin-left:-347.55pt;margin-top:567.95pt;width:700.15pt;height:700.15pt;rotation:4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fillcolor="white [3212]" stroked="f" strokeweight="1pt">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EA7" w:rsidRDefault="00375EA7" w:rsidP="00A33018">
      <w:pPr>
        <w:spacing w:after="0" w:line="240" w:lineRule="auto"/>
      </w:pPr>
      <w:r>
        <w:separator/>
      </w:r>
    </w:p>
  </w:footnote>
  <w:footnote w:type="continuationSeparator" w:id="0">
    <w:p w:rsidR="00375EA7" w:rsidRDefault="00375EA7" w:rsidP="00A33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Default="00375E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Default="00375EA7" w:rsidP="00884AA0">
    <w:pPr>
      <w:pStyle w:val="Header"/>
    </w:pPr>
    <w:r>
      <w:rPr>
        <w:noProof/>
        <w:lang w:eastAsia="en-GB"/>
      </w:rPr>
      <w:drawing>
        <wp:anchor distT="0" distB="0" distL="114300" distR="114300" simplePos="0" relativeHeight="251667967" behindDoc="0" locked="0" layoutInCell="1" allowOverlap="1" wp14:anchorId="26D6D073" wp14:editId="49A71B38">
          <wp:simplePos x="0" y="0"/>
          <wp:positionH relativeFrom="margin">
            <wp:align>left</wp:align>
          </wp:positionH>
          <wp:positionV relativeFrom="page">
            <wp:posOffset>457200</wp:posOffset>
          </wp:positionV>
          <wp:extent cx="1619885" cy="1724660"/>
          <wp:effectExtent l="0" t="0" r="0" b="8890"/>
          <wp:wrapNone/>
          <wp:docPr id="27" name="RBFRS Shiel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379" cy="17247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1" behindDoc="1" locked="0" layoutInCell="1" allowOverlap="1" wp14:anchorId="082F00A4" wp14:editId="17524D9C">
          <wp:simplePos x="0" y="0"/>
          <wp:positionH relativeFrom="page">
            <wp:align>center</wp:align>
          </wp:positionH>
          <wp:positionV relativeFrom="page">
            <wp:align>center</wp:align>
          </wp:positionV>
          <wp:extent cx="7558514" cy="10691640"/>
          <wp:effectExtent l="0" t="0" r="4445" b="0"/>
          <wp:wrapNone/>
          <wp:docPr id="26"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943" behindDoc="0" locked="0" layoutInCell="1" allowOverlap="1" wp14:anchorId="5F6478CF" wp14:editId="2B78BF59">
              <wp:simplePos x="0" y="0"/>
              <wp:positionH relativeFrom="page">
                <wp:posOffset>-1922780</wp:posOffset>
              </wp:positionH>
              <wp:positionV relativeFrom="page">
                <wp:posOffset>-750570</wp:posOffset>
              </wp:positionV>
              <wp:extent cx="7019925" cy="7019925"/>
              <wp:effectExtent l="1466850" t="1466850" r="1419225" b="1457325"/>
              <wp:wrapNone/>
              <wp:docPr id="9" name="White Rectangl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019925" cy="701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7EBE0" id="White Rectangle" o:spid="_x0000_s1026" alt="decorative" style="position:absolute;margin-left:-151.4pt;margin-top:-59.1pt;width:552.75pt;height:552.75pt;rotation:45;z-index:251666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" fillcolor="white [3212]" stroked="f" strokeweight="1pt">
              <v:path arrowok="t"/>
              <o:lock v:ext="edit" aspectratio="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Default="00375E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Pr="00884AA0" w:rsidRDefault="00375EA7" w:rsidP="00884AA0">
    <w:pPr>
      <w:pStyle w:val="Header"/>
    </w:pPr>
    <w:r w:rsidRPr="002C019B">
      <w:rPr>
        <w:noProof/>
        <w:lang w:eastAsia="en-GB"/>
      </w:rPr>
      <w:drawing>
        <wp:anchor distT="0" distB="0" distL="114300" distR="114300" simplePos="0" relativeHeight="251659264" behindDoc="0" locked="0" layoutInCell="1" allowOverlap="1" wp14:anchorId="459892DA" wp14:editId="318785FE">
          <wp:simplePos x="0" y="0"/>
          <wp:positionH relativeFrom="margin">
            <wp:align>left</wp:align>
          </wp:positionH>
          <wp:positionV relativeFrom="page">
            <wp:posOffset>377825</wp:posOffset>
          </wp:positionV>
          <wp:extent cx="601345" cy="638175"/>
          <wp:effectExtent l="0" t="0" r="8255" b="0"/>
          <wp:wrapSquare wrapText="bothSides"/>
          <wp:docPr id="1" name="Picture 1" descr="RBFRS cre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183" behindDoc="0" locked="0" layoutInCell="1" allowOverlap="1" wp14:anchorId="68348374" wp14:editId="4F5B137E">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9E4FEB" id="Straight Connector 8" o:spid="_x0000_s1026" alt="decorative" style="position:absolute;z-index:25167718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3.2pt,85.05pt" to="997.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r>
      <w:rPr>
        <w:noProof/>
        <w:lang w:eastAsia="en-GB"/>
      </w:rPr>
      <mc:AlternateContent>
        <mc:Choice Requires="wps">
          <w:drawing>
            <wp:anchor distT="0" distB="0" distL="114300" distR="114300" simplePos="0" relativeHeight="251675135" behindDoc="0" locked="0" layoutInCell="1" allowOverlap="1" wp14:anchorId="63CA31BD" wp14:editId="66D9753B">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F3842E" id="Straight Connector 6" o:spid="_x0000_s1026" alt="decorative" style="position:absolute;z-index:25167513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85.05pt" to="524.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sdt>
      <w:sdtPr>
        <w:alias w:val="Title"/>
        <w:tag w:val=""/>
        <w:id w:val="683397784"/>
        <w:placeholder>
          <w:docPart w:val="D23CBEF1825B47A0B6C827119620C690"/>
        </w:placeholder>
        <w:dataBinding w:prefixMappings="xmlns:ns0='http://purl.org/dc/elements/1.1/' xmlns:ns1='http://schemas.openxmlformats.org/package/2006/metadata/core-properties' " w:xpath="/ns1:coreProperties[1]/ns0:title[1]" w:storeItemID="{6C3C8BC8-F283-45AE-878A-BAB7291924A1}"/>
        <w:text/>
      </w:sdtPr>
      <w:sdtEndPr/>
      <w:sdtContent>
        <w:r>
          <w:t>Annual Plan</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7" w:rsidRDefault="00375EA7" w:rsidP="00884AA0">
    <w:pPr>
      <w:pStyle w:val="Header"/>
    </w:pPr>
    <w:r>
      <w:rPr>
        <w:noProof/>
        <w:lang w:eastAsia="en-GB"/>
      </w:rPr>
      <mc:AlternateContent>
        <mc:Choice Requires="wps">
          <w:drawing>
            <wp:anchor distT="0" distB="0" distL="114300" distR="114300" simplePos="0" relativeHeight="251666432" behindDoc="0" locked="0" layoutInCell="1" allowOverlap="1" wp14:anchorId="0CCB361A" wp14:editId="1043C183">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23E6A" id="Red page" o:spid="_x0000_s1026" alt="decorative" style="position:absolute;margin-left:0;margin-top:0;width:612.3pt;height:858.9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fillcolor="#e2241d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5pt;height:13.8pt" o:bullet="t">
        <v:imagedata r:id="rId1" o:title="tick"/>
      </v:shape>
    </w:pict>
  </w:numPicBullet>
  <w:numPicBullet w:numPicBulletId="1">
    <w:pict>
      <v:shape id="_x0000_i1027" type="#_x0000_t75" style="width:8.5pt;height:5.75pt" o:bullet="t">
        <v:imagedata r:id="rId2" o:title="small chevron"/>
      </v:shape>
    </w:pict>
  </w:numPicBullet>
  <w:numPicBullet w:numPicBulletId="2">
    <w:pict>
      <v:shape id="_x0000_i1028" type="#_x0000_t75" style="width:22.5pt;height:23.25pt;visibility:visible;mso-wrap-style:square" o:bullet="t">
        <v:imagedata r:id="rId3" o:title=""/>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1"/>
      <w:lvlJc w:val="left"/>
      <w:pPr>
        <w:ind w:left="6598" w:hanging="360"/>
      </w:pPr>
      <w:rPr>
        <w:rFonts w:ascii="Symbol" w:hAnsi="Symbol" w:hint="default"/>
        <w:b/>
        <w:i w:val="0"/>
        <w:color w:val="auto"/>
        <w:sz w:val="20"/>
        <w:szCs w:val="20"/>
      </w:rPr>
    </w:lvl>
  </w:abstractNum>
  <w:abstractNum w:abstractNumId="3" w15:restartNumberingAfterBreak="0">
    <w:nsid w:val="FFFFFF88"/>
    <w:multiLevelType w:val="singleLevel"/>
    <w:tmpl w:val="C8FE6F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0AC85EA5"/>
    <w:multiLevelType w:val="hybridMultilevel"/>
    <w:tmpl w:val="31D4F50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FBF29EC"/>
    <w:multiLevelType w:val="multilevel"/>
    <w:tmpl w:val="74A8BC64"/>
    <w:lvl w:ilvl="0">
      <w:start w:val="1"/>
      <w:numFmt w:val="bullet"/>
      <w:lvlText w:val=""/>
      <w:lvlJc w:val="left"/>
      <w:pPr>
        <w:ind w:left="493" w:hanging="360"/>
      </w:pPr>
      <w:rPr>
        <w:rFonts w:ascii="Symbol" w:hAnsi="Symbol" w:hint="default"/>
        <w:b w:val="0"/>
        <w:bCs w:val="0"/>
        <w:color w:val="auto"/>
        <w:spacing w:val="-23"/>
        <w:w w:val="100"/>
        <w:sz w:val="24"/>
        <w:szCs w:val="24"/>
      </w:rPr>
    </w:lvl>
    <w:lvl w:ilvl="1">
      <w:start w:val="1"/>
      <w:numFmt w:val="bullet"/>
      <w:lvlText w:val=""/>
      <w:lvlJc w:val="left"/>
      <w:pPr>
        <w:ind w:left="493" w:hanging="360"/>
      </w:pPr>
      <w:rPr>
        <w:rFonts w:ascii="Symbol" w:hAnsi="Symbol" w:hint="default"/>
        <w:b w:val="0"/>
        <w:bCs w:val="0"/>
        <w:spacing w:val="-1"/>
        <w:w w:val="100"/>
        <w:sz w:val="24"/>
        <w:szCs w:val="24"/>
      </w:rPr>
    </w:lvl>
    <w:lvl w:ilvl="2">
      <w:numFmt w:val="bullet"/>
      <w:lvlText w:val="•"/>
      <w:lvlJc w:val="left"/>
      <w:pPr>
        <w:ind w:left="2473" w:hanging="360"/>
      </w:pPr>
    </w:lvl>
    <w:lvl w:ilvl="3">
      <w:numFmt w:val="bullet"/>
      <w:lvlText w:val="•"/>
      <w:lvlJc w:val="left"/>
      <w:pPr>
        <w:ind w:left="3459" w:hanging="360"/>
      </w:pPr>
    </w:lvl>
    <w:lvl w:ilvl="4">
      <w:numFmt w:val="bullet"/>
      <w:lvlText w:val="•"/>
      <w:lvlJc w:val="left"/>
      <w:pPr>
        <w:ind w:left="4446" w:hanging="360"/>
      </w:pPr>
    </w:lvl>
    <w:lvl w:ilvl="5">
      <w:numFmt w:val="bullet"/>
      <w:lvlText w:val="•"/>
      <w:lvlJc w:val="left"/>
      <w:pPr>
        <w:ind w:left="5432" w:hanging="360"/>
      </w:pPr>
    </w:lvl>
    <w:lvl w:ilvl="6">
      <w:numFmt w:val="bullet"/>
      <w:lvlText w:val="•"/>
      <w:lvlJc w:val="left"/>
      <w:pPr>
        <w:ind w:left="6419" w:hanging="360"/>
      </w:pPr>
    </w:lvl>
    <w:lvl w:ilvl="7">
      <w:numFmt w:val="bullet"/>
      <w:lvlText w:val="•"/>
      <w:lvlJc w:val="left"/>
      <w:pPr>
        <w:ind w:left="7405" w:hanging="360"/>
      </w:pPr>
    </w:lvl>
    <w:lvl w:ilvl="8">
      <w:numFmt w:val="bullet"/>
      <w:lvlText w:val="•"/>
      <w:lvlJc w:val="left"/>
      <w:pPr>
        <w:ind w:left="8392" w:hanging="360"/>
      </w:pPr>
    </w:lvl>
  </w:abstractNum>
  <w:abstractNum w:abstractNumId="7" w15:restartNumberingAfterBreak="0">
    <w:nsid w:val="29F5475C"/>
    <w:multiLevelType w:val="multilevel"/>
    <w:tmpl w:val="74A8BC64"/>
    <w:lvl w:ilvl="0">
      <w:start w:val="1"/>
      <w:numFmt w:val="bullet"/>
      <w:lvlText w:val=""/>
      <w:lvlJc w:val="left"/>
      <w:pPr>
        <w:ind w:left="493" w:hanging="360"/>
      </w:pPr>
      <w:rPr>
        <w:rFonts w:ascii="Symbol" w:hAnsi="Symbol" w:hint="default"/>
        <w:b w:val="0"/>
        <w:bCs w:val="0"/>
        <w:color w:val="auto"/>
        <w:spacing w:val="-23"/>
        <w:w w:val="100"/>
        <w:sz w:val="24"/>
        <w:szCs w:val="24"/>
      </w:rPr>
    </w:lvl>
    <w:lvl w:ilvl="1">
      <w:start w:val="1"/>
      <w:numFmt w:val="bullet"/>
      <w:lvlText w:val=""/>
      <w:lvlJc w:val="left"/>
      <w:pPr>
        <w:ind w:left="493" w:hanging="360"/>
      </w:pPr>
      <w:rPr>
        <w:rFonts w:ascii="Symbol" w:hAnsi="Symbol" w:hint="default"/>
        <w:b w:val="0"/>
        <w:bCs w:val="0"/>
        <w:spacing w:val="-1"/>
        <w:w w:val="100"/>
        <w:sz w:val="24"/>
        <w:szCs w:val="24"/>
      </w:rPr>
    </w:lvl>
    <w:lvl w:ilvl="2">
      <w:numFmt w:val="bullet"/>
      <w:lvlText w:val="•"/>
      <w:lvlJc w:val="left"/>
      <w:pPr>
        <w:ind w:left="2473" w:hanging="360"/>
      </w:pPr>
    </w:lvl>
    <w:lvl w:ilvl="3">
      <w:numFmt w:val="bullet"/>
      <w:lvlText w:val="•"/>
      <w:lvlJc w:val="left"/>
      <w:pPr>
        <w:ind w:left="3459" w:hanging="360"/>
      </w:pPr>
    </w:lvl>
    <w:lvl w:ilvl="4">
      <w:numFmt w:val="bullet"/>
      <w:lvlText w:val="•"/>
      <w:lvlJc w:val="left"/>
      <w:pPr>
        <w:ind w:left="4446" w:hanging="360"/>
      </w:pPr>
    </w:lvl>
    <w:lvl w:ilvl="5">
      <w:numFmt w:val="bullet"/>
      <w:lvlText w:val="•"/>
      <w:lvlJc w:val="left"/>
      <w:pPr>
        <w:ind w:left="5432" w:hanging="360"/>
      </w:pPr>
    </w:lvl>
    <w:lvl w:ilvl="6">
      <w:numFmt w:val="bullet"/>
      <w:lvlText w:val="•"/>
      <w:lvlJc w:val="left"/>
      <w:pPr>
        <w:ind w:left="6419" w:hanging="360"/>
      </w:pPr>
    </w:lvl>
    <w:lvl w:ilvl="7">
      <w:numFmt w:val="bullet"/>
      <w:lvlText w:val="•"/>
      <w:lvlJc w:val="left"/>
      <w:pPr>
        <w:ind w:left="7405" w:hanging="360"/>
      </w:pPr>
    </w:lvl>
    <w:lvl w:ilvl="8">
      <w:numFmt w:val="bullet"/>
      <w:lvlText w:val="•"/>
      <w:lvlJc w:val="left"/>
      <w:pPr>
        <w:ind w:left="8392" w:hanging="360"/>
      </w:pPr>
    </w:lvl>
  </w:abstractNum>
  <w:abstractNum w:abstractNumId="8" w15:restartNumberingAfterBreak="0">
    <w:nsid w:val="2BF352E3"/>
    <w:multiLevelType w:val="multilevel"/>
    <w:tmpl w:val="74A8BC64"/>
    <w:lvl w:ilvl="0">
      <w:start w:val="1"/>
      <w:numFmt w:val="bullet"/>
      <w:lvlText w:val=""/>
      <w:lvlJc w:val="left"/>
      <w:pPr>
        <w:ind w:left="493" w:hanging="360"/>
      </w:pPr>
      <w:rPr>
        <w:rFonts w:ascii="Symbol" w:hAnsi="Symbol" w:hint="default"/>
        <w:b w:val="0"/>
        <w:bCs w:val="0"/>
        <w:color w:val="auto"/>
        <w:spacing w:val="-23"/>
        <w:w w:val="100"/>
        <w:sz w:val="24"/>
        <w:szCs w:val="24"/>
      </w:rPr>
    </w:lvl>
    <w:lvl w:ilvl="1">
      <w:start w:val="1"/>
      <w:numFmt w:val="bullet"/>
      <w:lvlText w:val=""/>
      <w:lvlJc w:val="left"/>
      <w:pPr>
        <w:ind w:left="493" w:hanging="360"/>
      </w:pPr>
      <w:rPr>
        <w:rFonts w:ascii="Symbol" w:hAnsi="Symbol" w:hint="default"/>
        <w:b w:val="0"/>
        <w:bCs w:val="0"/>
        <w:spacing w:val="-1"/>
        <w:w w:val="100"/>
        <w:sz w:val="24"/>
        <w:szCs w:val="24"/>
      </w:rPr>
    </w:lvl>
    <w:lvl w:ilvl="2">
      <w:numFmt w:val="bullet"/>
      <w:lvlText w:val="•"/>
      <w:lvlJc w:val="left"/>
      <w:pPr>
        <w:ind w:left="2473" w:hanging="360"/>
      </w:pPr>
    </w:lvl>
    <w:lvl w:ilvl="3">
      <w:numFmt w:val="bullet"/>
      <w:lvlText w:val="•"/>
      <w:lvlJc w:val="left"/>
      <w:pPr>
        <w:ind w:left="3459" w:hanging="360"/>
      </w:pPr>
    </w:lvl>
    <w:lvl w:ilvl="4">
      <w:numFmt w:val="bullet"/>
      <w:lvlText w:val="•"/>
      <w:lvlJc w:val="left"/>
      <w:pPr>
        <w:ind w:left="4446" w:hanging="360"/>
      </w:pPr>
    </w:lvl>
    <w:lvl w:ilvl="5">
      <w:numFmt w:val="bullet"/>
      <w:lvlText w:val="•"/>
      <w:lvlJc w:val="left"/>
      <w:pPr>
        <w:ind w:left="5432" w:hanging="360"/>
      </w:pPr>
    </w:lvl>
    <w:lvl w:ilvl="6">
      <w:numFmt w:val="bullet"/>
      <w:lvlText w:val="•"/>
      <w:lvlJc w:val="left"/>
      <w:pPr>
        <w:ind w:left="6419" w:hanging="360"/>
      </w:pPr>
    </w:lvl>
    <w:lvl w:ilvl="7">
      <w:numFmt w:val="bullet"/>
      <w:lvlText w:val="•"/>
      <w:lvlJc w:val="left"/>
      <w:pPr>
        <w:ind w:left="7405" w:hanging="360"/>
      </w:pPr>
    </w:lvl>
    <w:lvl w:ilvl="8">
      <w:numFmt w:val="bullet"/>
      <w:lvlText w:val="•"/>
      <w:lvlJc w:val="left"/>
      <w:pPr>
        <w:ind w:left="8392" w:hanging="360"/>
      </w:pPr>
    </w:lvl>
  </w:abstractNum>
  <w:abstractNum w:abstractNumId="9" w15:restartNumberingAfterBreak="0">
    <w:nsid w:val="36D07593"/>
    <w:multiLevelType w:val="hybridMultilevel"/>
    <w:tmpl w:val="512EB2BA"/>
    <w:lvl w:ilvl="0" w:tplc="FFDE6C7E">
      <w:start w:val="1"/>
      <w:numFmt w:val="bullet"/>
      <w:pStyle w:val="TOC1"/>
      <w:lvlText w:val=""/>
      <w:lvlPicBulletId w:val="1"/>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1105E7"/>
    <w:multiLevelType w:val="hybridMultilevel"/>
    <w:tmpl w:val="1E8660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E010F96"/>
    <w:multiLevelType w:val="hybridMultilevel"/>
    <w:tmpl w:val="310E398E"/>
    <w:lvl w:ilvl="0" w:tplc="79FA0ADA">
      <w:start w:val="1"/>
      <w:numFmt w:val="bullet"/>
      <w:lvlText w:val=""/>
      <w:lvlPicBulletId w:val="2"/>
      <w:lvlJc w:val="left"/>
      <w:pPr>
        <w:tabs>
          <w:tab w:val="num" w:pos="720"/>
        </w:tabs>
        <w:ind w:left="720" w:hanging="360"/>
      </w:pPr>
      <w:rPr>
        <w:rFonts w:ascii="Symbol" w:hAnsi="Symbol" w:hint="default"/>
      </w:rPr>
    </w:lvl>
    <w:lvl w:ilvl="1" w:tplc="86C2353E" w:tentative="1">
      <w:start w:val="1"/>
      <w:numFmt w:val="bullet"/>
      <w:lvlText w:val=""/>
      <w:lvlJc w:val="left"/>
      <w:pPr>
        <w:tabs>
          <w:tab w:val="num" w:pos="1440"/>
        </w:tabs>
        <w:ind w:left="1440" w:hanging="360"/>
      </w:pPr>
      <w:rPr>
        <w:rFonts w:ascii="Symbol" w:hAnsi="Symbol" w:hint="default"/>
      </w:rPr>
    </w:lvl>
    <w:lvl w:ilvl="2" w:tplc="01DA7E52" w:tentative="1">
      <w:start w:val="1"/>
      <w:numFmt w:val="bullet"/>
      <w:lvlText w:val=""/>
      <w:lvlJc w:val="left"/>
      <w:pPr>
        <w:tabs>
          <w:tab w:val="num" w:pos="2160"/>
        </w:tabs>
        <w:ind w:left="2160" w:hanging="360"/>
      </w:pPr>
      <w:rPr>
        <w:rFonts w:ascii="Symbol" w:hAnsi="Symbol" w:hint="default"/>
      </w:rPr>
    </w:lvl>
    <w:lvl w:ilvl="3" w:tplc="80944E32" w:tentative="1">
      <w:start w:val="1"/>
      <w:numFmt w:val="bullet"/>
      <w:lvlText w:val=""/>
      <w:lvlJc w:val="left"/>
      <w:pPr>
        <w:tabs>
          <w:tab w:val="num" w:pos="2880"/>
        </w:tabs>
        <w:ind w:left="2880" w:hanging="360"/>
      </w:pPr>
      <w:rPr>
        <w:rFonts w:ascii="Symbol" w:hAnsi="Symbol" w:hint="default"/>
      </w:rPr>
    </w:lvl>
    <w:lvl w:ilvl="4" w:tplc="24449FC0" w:tentative="1">
      <w:start w:val="1"/>
      <w:numFmt w:val="bullet"/>
      <w:lvlText w:val=""/>
      <w:lvlJc w:val="left"/>
      <w:pPr>
        <w:tabs>
          <w:tab w:val="num" w:pos="3600"/>
        </w:tabs>
        <w:ind w:left="3600" w:hanging="360"/>
      </w:pPr>
      <w:rPr>
        <w:rFonts w:ascii="Symbol" w:hAnsi="Symbol" w:hint="default"/>
      </w:rPr>
    </w:lvl>
    <w:lvl w:ilvl="5" w:tplc="3552F7D0" w:tentative="1">
      <w:start w:val="1"/>
      <w:numFmt w:val="bullet"/>
      <w:lvlText w:val=""/>
      <w:lvlJc w:val="left"/>
      <w:pPr>
        <w:tabs>
          <w:tab w:val="num" w:pos="4320"/>
        </w:tabs>
        <w:ind w:left="4320" w:hanging="360"/>
      </w:pPr>
      <w:rPr>
        <w:rFonts w:ascii="Symbol" w:hAnsi="Symbol" w:hint="default"/>
      </w:rPr>
    </w:lvl>
    <w:lvl w:ilvl="6" w:tplc="6A1893DC" w:tentative="1">
      <w:start w:val="1"/>
      <w:numFmt w:val="bullet"/>
      <w:lvlText w:val=""/>
      <w:lvlJc w:val="left"/>
      <w:pPr>
        <w:tabs>
          <w:tab w:val="num" w:pos="5040"/>
        </w:tabs>
        <w:ind w:left="5040" w:hanging="360"/>
      </w:pPr>
      <w:rPr>
        <w:rFonts w:ascii="Symbol" w:hAnsi="Symbol" w:hint="default"/>
      </w:rPr>
    </w:lvl>
    <w:lvl w:ilvl="7" w:tplc="EC7CF0F8" w:tentative="1">
      <w:start w:val="1"/>
      <w:numFmt w:val="bullet"/>
      <w:lvlText w:val=""/>
      <w:lvlJc w:val="left"/>
      <w:pPr>
        <w:tabs>
          <w:tab w:val="num" w:pos="5760"/>
        </w:tabs>
        <w:ind w:left="5760" w:hanging="360"/>
      </w:pPr>
      <w:rPr>
        <w:rFonts w:ascii="Symbol" w:hAnsi="Symbol" w:hint="default"/>
      </w:rPr>
    </w:lvl>
    <w:lvl w:ilvl="8" w:tplc="1D54A89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8030B71"/>
    <w:multiLevelType w:val="multilevel"/>
    <w:tmpl w:val="74A8BC64"/>
    <w:lvl w:ilvl="0">
      <w:start w:val="1"/>
      <w:numFmt w:val="bullet"/>
      <w:lvlText w:val=""/>
      <w:lvlJc w:val="left"/>
      <w:pPr>
        <w:ind w:left="493" w:hanging="360"/>
      </w:pPr>
      <w:rPr>
        <w:rFonts w:ascii="Symbol" w:hAnsi="Symbol" w:hint="default"/>
        <w:b w:val="0"/>
        <w:bCs w:val="0"/>
        <w:color w:val="auto"/>
        <w:spacing w:val="-23"/>
        <w:w w:val="100"/>
        <w:sz w:val="24"/>
        <w:szCs w:val="24"/>
      </w:rPr>
    </w:lvl>
    <w:lvl w:ilvl="1">
      <w:start w:val="1"/>
      <w:numFmt w:val="bullet"/>
      <w:lvlText w:val=""/>
      <w:lvlJc w:val="left"/>
      <w:pPr>
        <w:ind w:left="493" w:hanging="360"/>
      </w:pPr>
      <w:rPr>
        <w:rFonts w:ascii="Symbol" w:hAnsi="Symbol" w:hint="default"/>
        <w:b w:val="0"/>
        <w:bCs w:val="0"/>
        <w:spacing w:val="-1"/>
        <w:w w:val="100"/>
        <w:sz w:val="24"/>
        <w:szCs w:val="24"/>
      </w:rPr>
    </w:lvl>
    <w:lvl w:ilvl="2">
      <w:numFmt w:val="bullet"/>
      <w:lvlText w:val="•"/>
      <w:lvlJc w:val="left"/>
      <w:pPr>
        <w:ind w:left="2473" w:hanging="360"/>
      </w:pPr>
    </w:lvl>
    <w:lvl w:ilvl="3">
      <w:numFmt w:val="bullet"/>
      <w:lvlText w:val="•"/>
      <w:lvlJc w:val="left"/>
      <w:pPr>
        <w:ind w:left="3459" w:hanging="360"/>
      </w:pPr>
    </w:lvl>
    <w:lvl w:ilvl="4">
      <w:numFmt w:val="bullet"/>
      <w:lvlText w:val="•"/>
      <w:lvlJc w:val="left"/>
      <w:pPr>
        <w:ind w:left="4446" w:hanging="360"/>
      </w:pPr>
    </w:lvl>
    <w:lvl w:ilvl="5">
      <w:numFmt w:val="bullet"/>
      <w:lvlText w:val="•"/>
      <w:lvlJc w:val="left"/>
      <w:pPr>
        <w:ind w:left="5432" w:hanging="360"/>
      </w:pPr>
    </w:lvl>
    <w:lvl w:ilvl="6">
      <w:numFmt w:val="bullet"/>
      <w:lvlText w:val="•"/>
      <w:lvlJc w:val="left"/>
      <w:pPr>
        <w:ind w:left="6419" w:hanging="360"/>
      </w:pPr>
    </w:lvl>
    <w:lvl w:ilvl="7">
      <w:numFmt w:val="bullet"/>
      <w:lvlText w:val="•"/>
      <w:lvlJc w:val="left"/>
      <w:pPr>
        <w:ind w:left="7405" w:hanging="360"/>
      </w:pPr>
    </w:lvl>
    <w:lvl w:ilvl="8">
      <w:numFmt w:val="bullet"/>
      <w:lvlText w:val="•"/>
      <w:lvlJc w:val="left"/>
      <w:pPr>
        <w:ind w:left="8392" w:hanging="360"/>
      </w:pPr>
    </w:lvl>
  </w:abstractNum>
  <w:abstractNum w:abstractNumId="13" w15:restartNumberingAfterBreak="0">
    <w:nsid w:val="79323F32"/>
    <w:multiLevelType w:val="multilevel"/>
    <w:tmpl w:val="74A8BC64"/>
    <w:lvl w:ilvl="0">
      <w:start w:val="1"/>
      <w:numFmt w:val="bullet"/>
      <w:lvlText w:val=""/>
      <w:lvlJc w:val="left"/>
      <w:pPr>
        <w:ind w:left="493" w:hanging="360"/>
      </w:pPr>
      <w:rPr>
        <w:rFonts w:ascii="Symbol" w:hAnsi="Symbol" w:hint="default"/>
        <w:b w:val="0"/>
        <w:bCs w:val="0"/>
        <w:color w:val="auto"/>
        <w:spacing w:val="-23"/>
        <w:w w:val="100"/>
        <w:sz w:val="24"/>
        <w:szCs w:val="24"/>
      </w:rPr>
    </w:lvl>
    <w:lvl w:ilvl="1">
      <w:start w:val="1"/>
      <w:numFmt w:val="bullet"/>
      <w:lvlText w:val=""/>
      <w:lvlJc w:val="left"/>
      <w:pPr>
        <w:ind w:left="493" w:hanging="360"/>
      </w:pPr>
      <w:rPr>
        <w:rFonts w:ascii="Symbol" w:hAnsi="Symbol" w:hint="default"/>
        <w:b w:val="0"/>
        <w:bCs w:val="0"/>
        <w:spacing w:val="-1"/>
        <w:w w:val="100"/>
        <w:sz w:val="24"/>
        <w:szCs w:val="24"/>
      </w:rPr>
    </w:lvl>
    <w:lvl w:ilvl="2">
      <w:numFmt w:val="bullet"/>
      <w:lvlText w:val="•"/>
      <w:lvlJc w:val="left"/>
      <w:pPr>
        <w:ind w:left="2473" w:hanging="360"/>
      </w:pPr>
    </w:lvl>
    <w:lvl w:ilvl="3">
      <w:numFmt w:val="bullet"/>
      <w:lvlText w:val="•"/>
      <w:lvlJc w:val="left"/>
      <w:pPr>
        <w:ind w:left="3459" w:hanging="360"/>
      </w:pPr>
    </w:lvl>
    <w:lvl w:ilvl="4">
      <w:numFmt w:val="bullet"/>
      <w:lvlText w:val="•"/>
      <w:lvlJc w:val="left"/>
      <w:pPr>
        <w:ind w:left="4446" w:hanging="360"/>
      </w:pPr>
    </w:lvl>
    <w:lvl w:ilvl="5">
      <w:numFmt w:val="bullet"/>
      <w:lvlText w:val="•"/>
      <w:lvlJc w:val="left"/>
      <w:pPr>
        <w:ind w:left="5432" w:hanging="360"/>
      </w:pPr>
    </w:lvl>
    <w:lvl w:ilvl="6">
      <w:numFmt w:val="bullet"/>
      <w:lvlText w:val="•"/>
      <w:lvlJc w:val="left"/>
      <w:pPr>
        <w:ind w:left="6419" w:hanging="360"/>
      </w:pPr>
    </w:lvl>
    <w:lvl w:ilvl="7">
      <w:numFmt w:val="bullet"/>
      <w:lvlText w:val="•"/>
      <w:lvlJc w:val="left"/>
      <w:pPr>
        <w:ind w:left="7405" w:hanging="360"/>
      </w:pPr>
    </w:lvl>
    <w:lvl w:ilvl="8">
      <w:numFmt w:val="bullet"/>
      <w:lvlText w:val="•"/>
      <w:lvlJc w:val="left"/>
      <w:pPr>
        <w:ind w:left="8392" w:hanging="360"/>
      </w:pPr>
    </w:lvl>
  </w:abstractNum>
  <w:num w:numId="1">
    <w:abstractNumId w:val="9"/>
  </w:num>
  <w:num w:numId="2">
    <w:abstractNumId w:val="4"/>
  </w:num>
  <w:num w:numId="3">
    <w:abstractNumId w:val="2"/>
  </w:num>
  <w:num w:numId="4">
    <w:abstractNumId w:val="1"/>
  </w:num>
  <w:num w:numId="5">
    <w:abstractNumId w:val="3"/>
  </w:num>
  <w:num w:numId="6">
    <w:abstractNumId w:val="0"/>
  </w:num>
  <w:num w:numId="7">
    <w:abstractNumId w:val="3"/>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11"/>
  </w:num>
  <w:num w:numId="19">
    <w:abstractNumId w:val="13"/>
  </w:num>
  <w:num w:numId="20">
    <w:abstractNumId w:val="7"/>
  </w:num>
  <w:num w:numId="21">
    <w:abstractNumId w:val="12"/>
  </w:num>
  <w:num w:numId="22">
    <w:abstractNumId w:val="8"/>
  </w:num>
  <w:num w:numId="23">
    <w:abstractNumId w:val="6"/>
  </w:num>
  <w:num w:numId="24">
    <w:abstractNumId w:val="5"/>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10"/>
  </w:num>
  <w:num w:numId="3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47D"/>
    <w:rsid w:val="0003642F"/>
    <w:rsid w:val="000425A8"/>
    <w:rsid w:val="00056887"/>
    <w:rsid w:val="000639BF"/>
    <w:rsid w:val="00072EB2"/>
    <w:rsid w:val="000750BE"/>
    <w:rsid w:val="000F3068"/>
    <w:rsid w:val="001445F9"/>
    <w:rsid w:val="001B0403"/>
    <w:rsid w:val="001C4077"/>
    <w:rsid w:val="002150D1"/>
    <w:rsid w:val="00246452"/>
    <w:rsid w:val="002666EF"/>
    <w:rsid w:val="0027047C"/>
    <w:rsid w:val="00295F48"/>
    <w:rsid w:val="002B1081"/>
    <w:rsid w:val="002C019B"/>
    <w:rsid w:val="00301BDB"/>
    <w:rsid w:val="003109CC"/>
    <w:rsid w:val="00375EA7"/>
    <w:rsid w:val="0039584E"/>
    <w:rsid w:val="003A352F"/>
    <w:rsid w:val="003B432F"/>
    <w:rsid w:val="003B7364"/>
    <w:rsid w:val="003D0D96"/>
    <w:rsid w:val="003E54EC"/>
    <w:rsid w:val="00407D23"/>
    <w:rsid w:val="00453975"/>
    <w:rsid w:val="00491B5B"/>
    <w:rsid w:val="004E0DB9"/>
    <w:rsid w:val="004F1972"/>
    <w:rsid w:val="00500A82"/>
    <w:rsid w:val="005163EC"/>
    <w:rsid w:val="0056247A"/>
    <w:rsid w:val="00575306"/>
    <w:rsid w:val="00584656"/>
    <w:rsid w:val="005A7712"/>
    <w:rsid w:val="005B6C4E"/>
    <w:rsid w:val="005E078D"/>
    <w:rsid w:val="005E733C"/>
    <w:rsid w:val="005F6714"/>
    <w:rsid w:val="00621123"/>
    <w:rsid w:val="006A5365"/>
    <w:rsid w:val="006C3425"/>
    <w:rsid w:val="006C5D62"/>
    <w:rsid w:val="006D726C"/>
    <w:rsid w:val="006F675F"/>
    <w:rsid w:val="00732D83"/>
    <w:rsid w:val="007666D0"/>
    <w:rsid w:val="0078447D"/>
    <w:rsid w:val="007B6D65"/>
    <w:rsid w:val="0080436E"/>
    <w:rsid w:val="00815518"/>
    <w:rsid w:val="008277C2"/>
    <w:rsid w:val="008602E2"/>
    <w:rsid w:val="00884AA0"/>
    <w:rsid w:val="008D5D6F"/>
    <w:rsid w:val="009254A8"/>
    <w:rsid w:val="00927647"/>
    <w:rsid w:val="00985E4D"/>
    <w:rsid w:val="009B317F"/>
    <w:rsid w:val="009C0424"/>
    <w:rsid w:val="009D57B8"/>
    <w:rsid w:val="00A20BAD"/>
    <w:rsid w:val="00A33018"/>
    <w:rsid w:val="00AE551F"/>
    <w:rsid w:val="00AF3EBE"/>
    <w:rsid w:val="00AF45AA"/>
    <w:rsid w:val="00B97A18"/>
    <w:rsid w:val="00BD5850"/>
    <w:rsid w:val="00BF75EC"/>
    <w:rsid w:val="00C2358E"/>
    <w:rsid w:val="00C74B35"/>
    <w:rsid w:val="00CC4E9C"/>
    <w:rsid w:val="00CD1882"/>
    <w:rsid w:val="00CD70C6"/>
    <w:rsid w:val="00CF5F4C"/>
    <w:rsid w:val="00D1641E"/>
    <w:rsid w:val="00D27E09"/>
    <w:rsid w:val="00DD4B76"/>
    <w:rsid w:val="00E24605"/>
    <w:rsid w:val="00E55329"/>
    <w:rsid w:val="00E7077C"/>
    <w:rsid w:val="00E9063F"/>
    <w:rsid w:val="00EA72D7"/>
    <w:rsid w:val="00EE0202"/>
    <w:rsid w:val="00F567FF"/>
    <w:rsid w:val="00F777ED"/>
    <w:rsid w:val="00F84174"/>
    <w:rsid w:val="00F932B8"/>
    <w:rsid w:val="00FC5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5021F"/>
  <w15:chartTrackingRefBased/>
  <w15:docId w15:val="{ACE0209A-9C9F-4818-8332-94E6E6D3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ind w:left="357" w:hanging="357"/>
    </w:pPr>
  </w:style>
  <w:style w:type="paragraph" w:styleId="ListBullet2">
    <w:name w:val="List Bullet 2"/>
    <w:basedOn w:val="Normal"/>
    <w:uiPriority w:val="99"/>
    <w:unhideWhenUsed/>
    <w:rsid w:val="007666D0"/>
    <w:pPr>
      <w:numPr>
        <w:numId w:val="3"/>
      </w:numPr>
    </w:pPr>
  </w:style>
  <w:style w:type="paragraph" w:styleId="ListBullet3">
    <w:name w:val="List Bullet 3"/>
    <w:basedOn w:val="Normal"/>
    <w:uiPriority w:val="99"/>
    <w:unhideWhenUsed/>
    <w:rsid w:val="005163EC"/>
    <w:pPr>
      <w:numPr>
        <w:numId w:val="4"/>
      </w:numPr>
      <w:ind w:left="680" w:hanging="340"/>
    </w:pPr>
  </w:style>
  <w:style w:type="paragraph" w:styleId="ListNumber">
    <w:name w:val="List Number"/>
    <w:basedOn w:val="Normal"/>
    <w:uiPriority w:val="99"/>
    <w:unhideWhenUsed/>
    <w:rsid w:val="007B6D65"/>
    <w:pPr>
      <w:numPr>
        <w:numId w:val="5"/>
      </w:numPr>
    </w:pPr>
  </w:style>
  <w:style w:type="paragraph" w:styleId="ListNumber2">
    <w:name w:val="List Number 2"/>
    <w:basedOn w:val="Normal"/>
    <w:uiPriority w:val="99"/>
    <w:unhideWhenUsed/>
    <w:rsid w:val="007B6D65"/>
    <w:pPr>
      <w:numPr>
        <w:numId w:val="6"/>
      </w:numPr>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paragraph" w:customStyle="1" w:styleId="Head1RBFRS">
    <w:name w:val="Head1 RBFRS"/>
    <w:basedOn w:val="Normal"/>
    <w:link w:val="Head1RBFRSChar"/>
    <w:rsid w:val="0078447D"/>
    <w:pPr>
      <w:spacing w:after="200" w:line="276" w:lineRule="auto"/>
    </w:pPr>
    <w:rPr>
      <w:rFonts w:ascii="Arial" w:hAnsi="Arial"/>
      <w:color w:val="FF0000"/>
      <w:sz w:val="32"/>
      <w:szCs w:val="32"/>
    </w:rPr>
  </w:style>
  <w:style w:type="character" w:customStyle="1" w:styleId="Head1RBFRSChar">
    <w:name w:val="Head1 RBFRS Char"/>
    <w:basedOn w:val="DefaultParagraphFont"/>
    <w:link w:val="Head1RBFRS"/>
    <w:rsid w:val="0078447D"/>
    <w:rPr>
      <w:rFonts w:ascii="Arial" w:hAnsi="Arial"/>
      <w:color w:val="FF0000"/>
      <w:sz w:val="32"/>
      <w:szCs w:val="32"/>
    </w:rPr>
  </w:style>
  <w:style w:type="paragraph" w:styleId="NoSpacing">
    <w:name w:val="No Spacing"/>
    <w:uiPriority w:val="1"/>
    <w:qFormat/>
    <w:rsid w:val="0078447D"/>
    <w:pPr>
      <w:widowControl w:val="0"/>
      <w:autoSpaceDE w:val="0"/>
      <w:autoSpaceDN w:val="0"/>
      <w:adjustRightInd w:val="0"/>
      <w:spacing w:after="0" w:line="240" w:lineRule="auto"/>
    </w:pPr>
    <w:rPr>
      <w:rFonts w:ascii="Arial" w:eastAsia="Times New Roman" w:hAnsi="Arial" w:cs="Arial"/>
      <w:sz w:val="22"/>
      <w:szCs w:val="22"/>
      <w:lang w:eastAsia="en-GB"/>
    </w:rPr>
  </w:style>
  <w:style w:type="paragraph" w:styleId="BodyText">
    <w:name w:val="Body Text"/>
    <w:basedOn w:val="Normal"/>
    <w:link w:val="BodyTextChar"/>
    <w:uiPriority w:val="1"/>
    <w:qFormat/>
    <w:rsid w:val="005A7712"/>
    <w:pPr>
      <w:spacing w:after="0" w:line="240" w:lineRule="auto"/>
      <w:ind w:left="108"/>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5A7712"/>
    <w:rPr>
      <w:rFonts w:ascii="Arial" w:eastAsia="Arial" w:hAnsi="Arial" w:cs="Arial"/>
      <w:sz w:val="20"/>
      <w:szCs w:val="20"/>
      <w:lang w:eastAsia="en-GB" w:bidi="en-GB"/>
    </w:rPr>
  </w:style>
  <w:style w:type="paragraph" w:customStyle="1" w:styleId="TableParagraph">
    <w:name w:val="Table Paragraph"/>
    <w:basedOn w:val="Normal"/>
    <w:uiPriority w:val="1"/>
    <w:qFormat/>
    <w:locked/>
    <w:rsid w:val="005A7712"/>
    <w:pPr>
      <w:spacing w:before="99" w:after="0" w:line="240" w:lineRule="auto"/>
      <w:ind w:left="108"/>
    </w:pPr>
    <w:rPr>
      <w:rFonts w:ascii="Arial" w:eastAsia="Arial" w:hAnsi="Arial" w:cs="Arial"/>
      <w:sz w:val="22"/>
      <w:szCs w:val="22"/>
      <w:lang w:eastAsia="en-GB" w:bidi="en-GB"/>
    </w:rPr>
  </w:style>
  <w:style w:type="character" w:customStyle="1" w:styleId="A6">
    <w:name w:val="A6"/>
    <w:uiPriority w:val="99"/>
    <w:rsid w:val="005A7712"/>
    <w:rPr>
      <w:color w:val="000000"/>
    </w:rPr>
  </w:style>
  <w:style w:type="character" w:customStyle="1" w:styleId="A8">
    <w:name w:val="A8"/>
    <w:uiPriority w:val="99"/>
    <w:rsid w:val="005A7712"/>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bfrs.co.uk/your-service/our-performance/" TargetMode="External"/><Relationship Id="rId26" Type="http://schemas.openxmlformats.org/officeDocument/2006/relationships/hyperlink" Target="https://www.justiceinspectorates.gov.uk/hmicfrs/fire-and-rescue-services/royal-berkshire/" TargetMode="External"/><Relationship Id="rId3" Type="http://schemas.openxmlformats.org/officeDocument/2006/relationships/styles" Target="styles.xml"/><Relationship Id="rId21" Type="http://schemas.openxmlformats.org/officeDocument/2006/relationships/hyperlink" Target="https://www.rbfrs.co.uk/your-service/about-u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bfrs.co.uk/your-service/about-us/" TargetMode="External"/><Relationship Id="rId25" Type="http://schemas.openxmlformats.org/officeDocument/2006/relationships/hyperlink" Target="https://assets.publishing.service.gov.uk/government/uploads/system/uploads/attachment_data/file/705060/National_Framework_-_final_for_web.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rbfrs.co.uk/your-service/managing-risk/integrated-risk-management-planning/" TargetMode="External"/><Relationship Id="rId20" Type="http://schemas.openxmlformats.org/officeDocument/2006/relationships/hyperlink" Target="https://www.nationalfirechiefs.org.uk/"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rbfrs.co.uk/your-service/transparency-and-governanc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bfrs.co.uk/your-service/our-commitments/" TargetMode="External"/><Relationship Id="rId23" Type="http://schemas.openxmlformats.org/officeDocument/2006/relationships/hyperlink" Target="https://www.rbfrs.co.uk/your-service/our-performance/quarterly-performance-reports/"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www.gov.uk/government/publications/fire-and-rescue-national-framework-for-england--2"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bfrs.co.uk/your-service/our-performance/" TargetMode="External"/><Relationship Id="rId22" Type="http://schemas.openxmlformats.org/officeDocument/2006/relationships/hyperlink" Target="https://www.rbfrs.co.uk/your-service/our-performance/" TargetMode="External"/><Relationship Id="rId27" Type="http://schemas.openxmlformats.org/officeDocument/2006/relationships/hyperlink" Target="https://www.justiceinspectorates.gov.uk/hmicfrs/" TargetMode="External"/><Relationship Id="rId30" Type="http://schemas.openxmlformats.org/officeDocument/2006/relationships/header" Target="header5.xml"/></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pmanr\Downloads\Report%20v5%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8FEF03D827482DB817C1F1032720BF"/>
        <w:category>
          <w:name w:val="General"/>
          <w:gallery w:val="placeholder"/>
        </w:category>
        <w:types>
          <w:type w:val="bbPlcHdr"/>
        </w:types>
        <w:behaviors>
          <w:behavior w:val="content"/>
        </w:behaviors>
        <w:guid w:val="{FFC671F8-A31F-434F-94D7-22A0B5C49747}"/>
      </w:docPartPr>
      <w:docPartBody>
        <w:p w:rsidR="00076FB6" w:rsidRDefault="00076FB6">
          <w:pPr>
            <w:pStyle w:val="D58FEF03D827482DB817C1F1032720BF"/>
          </w:pPr>
          <w:r w:rsidRPr="00375459">
            <w:rPr>
              <w:rStyle w:val="PlaceholderText"/>
            </w:rPr>
            <w:t>[Title]</w:t>
          </w:r>
        </w:p>
      </w:docPartBody>
    </w:docPart>
    <w:docPart>
      <w:docPartPr>
        <w:name w:val="9FA3380F977A4D58917474D3572256AB"/>
        <w:category>
          <w:name w:val="General"/>
          <w:gallery w:val="placeholder"/>
        </w:category>
        <w:types>
          <w:type w:val="bbPlcHdr"/>
        </w:types>
        <w:behaviors>
          <w:behavior w:val="content"/>
        </w:behaviors>
        <w:guid w:val="{3F935558-E382-43D5-ABE6-6510B3B6AE42}"/>
      </w:docPartPr>
      <w:docPartBody>
        <w:p w:rsidR="00076FB6" w:rsidRDefault="00076FB6">
          <w:pPr>
            <w:pStyle w:val="9FA3380F977A4D58917474D3572256AB"/>
          </w:pPr>
          <w:r w:rsidRPr="00291EE9">
            <w:rPr>
              <w:rStyle w:val="PlaceholderText"/>
            </w:rPr>
            <w:t>[Subject]</w:t>
          </w:r>
        </w:p>
      </w:docPartBody>
    </w:docPart>
    <w:docPart>
      <w:docPartPr>
        <w:name w:val="D23CBEF1825B47A0B6C827119620C690"/>
        <w:category>
          <w:name w:val="General"/>
          <w:gallery w:val="placeholder"/>
        </w:category>
        <w:types>
          <w:type w:val="bbPlcHdr"/>
        </w:types>
        <w:behaviors>
          <w:behavior w:val="content"/>
        </w:behaviors>
        <w:guid w:val="{2D7B53D0-9BDE-4BC0-BFC7-65E3E44A7566}"/>
      </w:docPartPr>
      <w:docPartBody>
        <w:p w:rsidR="00076FB6" w:rsidRDefault="00076FB6">
          <w:pPr>
            <w:pStyle w:val="D23CBEF1825B47A0B6C827119620C690"/>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FB6"/>
    <w:rsid w:val="00076FB6"/>
    <w:rsid w:val="001C7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8FEF03D827482DB817C1F1032720BF">
    <w:name w:val="D58FEF03D827482DB817C1F1032720BF"/>
  </w:style>
  <w:style w:type="paragraph" w:customStyle="1" w:styleId="9FA3380F977A4D58917474D3572256AB">
    <w:name w:val="9FA3380F977A4D58917474D3572256AB"/>
  </w:style>
  <w:style w:type="paragraph" w:customStyle="1" w:styleId="D23CBEF1825B47A0B6C827119620C690">
    <w:name w:val="D23CBEF1825B47A0B6C827119620C6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66984-87BC-4DBA-9EAB-D7E6F32C0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v5 (1)</Template>
  <TotalTime>2</TotalTime>
  <Pages>27</Pages>
  <Words>5154</Words>
  <Characters>29379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Annual Plan</vt:lpstr>
    </vt:vector>
  </TitlesOfParts>
  <Company/>
  <LinksUpToDate>false</LinksUpToDate>
  <CharactersWithSpaces>34465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Plan</dc:title>
  <dc:subject>2022-2023</dc:subject>
  <dc:creator>Becca Chapman</dc:creator>
  <cp:keywords/>
  <dc:description/>
  <cp:lastModifiedBy>Becca Chapman</cp:lastModifiedBy>
  <cp:revision>3</cp:revision>
  <cp:lastPrinted>2022-04-14T07:48:00Z</cp:lastPrinted>
  <dcterms:created xsi:type="dcterms:W3CDTF">2022-05-19T13:03:00Z</dcterms:created>
  <dcterms:modified xsi:type="dcterms:W3CDTF">2022-05-19T13:04:00Z</dcterms:modified>
</cp:coreProperties>
</file>