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321D" w14:textId="6FFEB62A" w:rsidR="00ED5E28" w:rsidRDefault="00ED5E28">
      <w:r>
        <w:t>Procurement Terminology</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365"/>
      </w:tblGrid>
      <w:tr w:rsidR="00ED5E28" w:rsidRPr="00ED5E28" w14:paraId="5EDE3D2B" w14:textId="77777777" w:rsidTr="00ED5E28">
        <w:trPr>
          <w:trHeight w:val="300"/>
        </w:trPr>
        <w:tc>
          <w:tcPr>
            <w:tcW w:w="1980"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5E6FA3C1" w14:textId="77777777" w:rsidR="00ED5E28" w:rsidRPr="00ED5E28" w:rsidRDefault="00ED5E28" w:rsidP="00ED5E28">
            <w:r w:rsidRPr="00ED5E28">
              <w:rPr>
                <w:b/>
                <w:bCs/>
              </w:rPr>
              <w:t>Term</w:t>
            </w:r>
            <w:r w:rsidRPr="00ED5E28">
              <w:rPr>
                <w:rFonts w:ascii="Arial" w:hAnsi="Arial" w:cs="Arial"/>
              </w:rPr>
              <w:t> </w:t>
            </w:r>
            <w:r w:rsidRPr="00ED5E28">
              <w:t> </w:t>
            </w:r>
          </w:p>
        </w:tc>
        <w:tc>
          <w:tcPr>
            <w:tcW w:w="7365" w:type="dxa"/>
            <w:tcBorders>
              <w:top w:val="single" w:sz="8" w:space="0" w:color="auto"/>
              <w:left w:val="nil"/>
              <w:bottom w:val="single" w:sz="8" w:space="0" w:color="auto"/>
              <w:right w:val="single" w:sz="8" w:space="0" w:color="auto"/>
            </w:tcBorders>
            <w:shd w:val="clear" w:color="auto" w:fill="BFBFBF"/>
            <w:vAlign w:val="center"/>
            <w:hideMark/>
          </w:tcPr>
          <w:p w14:paraId="7BEA196C" w14:textId="77777777" w:rsidR="00ED5E28" w:rsidRPr="00ED5E28" w:rsidRDefault="00ED5E28" w:rsidP="00ED5E28">
            <w:r w:rsidRPr="00ED5E28">
              <w:rPr>
                <w:b/>
                <w:bCs/>
              </w:rPr>
              <w:t>Meaning of Term</w:t>
            </w:r>
            <w:r w:rsidRPr="00ED5E28">
              <w:rPr>
                <w:rFonts w:ascii="Arial" w:hAnsi="Arial" w:cs="Arial"/>
              </w:rPr>
              <w:t> </w:t>
            </w:r>
            <w:r w:rsidRPr="00ED5E28">
              <w:t> </w:t>
            </w:r>
          </w:p>
        </w:tc>
      </w:tr>
      <w:tr w:rsidR="00ED5E28" w:rsidRPr="00ED5E28" w14:paraId="1AEE81E7"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EDD7B0F" w14:textId="77777777" w:rsidR="00ED5E28" w:rsidRPr="00ED5E28" w:rsidRDefault="00ED5E28" w:rsidP="00ED5E28">
            <w:r w:rsidRPr="00ED5E28">
              <w:t>Approved Dynamic Market  </w:t>
            </w:r>
          </w:p>
        </w:tc>
        <w:tc>
          <w:tcPr>
            <w:tcW w:w="7365" w:type="dxa"/>
            <w:tcBorders>
              <w:top w:val="nil"/>
              <w:left w:val="nil"/>
              <w:bottom w:val="single" w:sz="8" w:space="0" w:color="auto"/>
              <w:right w:val="single" w:sz="8" w:space="0" w:color="auto"/>
            </w:tcBorders>
            <w:vAlign w:val="center"/>
            <w:hideMark/>
          </w:tcPr>
          <w:p w14:paraId="61C69928" w14:textId="77777777" w:rsidR="00ED5E28" w:rsidRPr="00ED5E28" w:rsidRDefault="00ED5E28" w:rsidP="00ED5E28">
            <w:r w:rsidRPr="00ED5E28">
              <w:t>A Dynamic Market approved for use by the Procurement Team</w:t>
            </w:r>
            <w:r w:rsidRPr="00ED5E28">
              <w:rPr>
                <w:rFonts w:ascii="Arial" w:hAnsi="Arial" w:cs="Arial"/>
              </w:rPr>
              <w:t> </w:t>
            </w:r>
            <w:r w:rsidRPr="00ED5E28">
              <w:t> </w:t>
            </w:r>
          </w:p>
        </w:tc>
      </w:tr>
      <w:tr w:rsidR="00ED5E28" w:rsidRPr="00ED5E28" w14:paraId="43426E04"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AFA43BF" w14:textId="77777777" w:rsidR="00ED5E28" w:rsidRPr="00ED5E28" w:rsidRDefault="00ED5E28" w:rsidP="00ED5E28">
            <w:r w:rsidRPr="00ED5E28">
              <w:t>Approved Framework</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E05E580" w14:textId="77777777" w:rsidR="00ED5E28" w:rsidRPr="00ED5E28" w:rsidRDefault="00ED5E28" w:rsidP="00ED5E28">
            <w:r w:rsidRPr="00ED5E28">
              <w:t>A Framework (including Open Frameworks) approved for use by the Procurement Team</w:t>
            </w:r>
            <w:r w:rsidRPr="00ED5E28">
              <w:rPr>
                <w:rFonts w:ascii="Arial" w:hAnsi="Arial" w:cs="Arial"/>
              </w:rPr>
              <w:t> </w:t>
            </w:r>
            <w:r w:rsidRPr="00ED5E28">
              <w:t> </w:t>
            </w:r>
          </w:p>
        </w:tc>
      </w:tr>
      <w:tr w:rsidR="00ED5E28" w:rsidRPr="00ED5E28" w14:paraId="31FC5884"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6835582" w14:textId="77777777" w:rsidR="00ED5E28" w:rsidRPr="00ED5E28" w:rsidRDefault="00ED5E28" w:rsidP="00ED5E28">
            <w:r w:rsidRPr="00ED5E28">
              <w:t>Assessment Summary</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774560F" w14:textId="77777777" w:rsidR="00ED5E28" w:rsidRPr="00ED5E28" w:rsidRDefault="00ED5E28" w:rsidP="00ED5E28">
            <w:r w:rsidRPr="00ED5E28">
              <w:t>A letter detailing the outcome of the assessment of any Tenders received.  </w:t>
            </w:r>
          </w:p>
          <w:p w14:paraId="251664A1" w14:textId="77777777" w:rsidR="00ED5E28" w:rsidRPr="00ED5E28" w:rsidRDefault="00ED5E28" w:rsidP="00ED5E28">
            <w:r w:rsidRPr="00ED5E28">
              <w:t>For the winning Supplier it will include their scores and reasons for those scores against each of the published Award Criteria.</w:t>
            </w:r>
            <w:r w:rsidRPr="00ED5E28">
              <w:rPr>
                <w:rFonts w:ascii="Arial" w:hAnsi="Arial" w:cs="Arial"/>
              </w:rPr>
              <w:t> </w:t>
            </w:r>
            <w:r w:rsidRPr="00ED5E28">
              <w:t> </w:t>
            </w:r>
          </w:p>
          <w:p w14:paraId="671F2C88" w14:textId="77777777" w:rsidR="00ED5E28" w:rsidRPr="00ED5E28" w:rsidRDefault="00ED5E28" w:rsidP="00ED5E28">
            <w:r w:rsidRPr="00ED5E28">
              <w:t>For all losing Suppliers, the letter will include their scores and the reason for those scores against each of the published Award Criteria and the same information for the winning Supplier. </w:t>
            </w:r>
          </w:p>
        </w:tc>
      </w:tr>
      <w:tr w:rsidR="00ED5E28" w:rsidRPr="00ED5E28" w14:paraId="4C84C369"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8DC8423" w14:textId="77777777" w:rsidR="00ED5E28" w:rsidRPr="00ED5E28" w:rsidRDefault="00ED5E28" w:rsidP="00ED5E28">
            <w:r w:rsidRPr="00ED5E28">
              <w:t>Award Criteria/ Assessment Methodology</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EC617CA" w14:textId="77777777" w:rsidR="00ED5E28" w:rsidRPr="00ED5E28" w:rsidRDefault="00ED5E28" w:rsidP="00ED5E28">
            <w:r w:rsidRPr="00ED5E28">
              <w:t>Criteria set in accordance with section 23 of the Procurement Act 2023 against which Tenders may be assessed for the purpose of awarding a Public Contract. These criteria must:</w:t>
            </w:r>
            <w:r w:rsidRPr="00ED5E28">
              <w:rPr>
                <w:rFonts w:ascii="Arial" w:hAnsi="Arial" w:cs="Arial"/>
              </w:rPr>
              <w:t> </w:t>
            </w:r>
            <w:r w:rsidRPr="00ED5E28">
              <w:t> </w:t>
            </w:r>
          </w:p>
          <w:p w14:paraId="108BA1DD" w14:textId="77777777" w:rsidR="00ED5E28" w:rsidRPr="00ED5E28" w:rsidRDefault="00ED5E28" w:rsidP="00ED5E28">
            <w:pPr>
              <w:numPr>
                <w:ilvl w:val="0"/>
                <w:numId w:val="1"/>
              </w:numPr>
            </w:pPr>
            <w:r w:rsidRPr="00ED5E28">
              <w:t>relate to the subject-matter of the Contract,</w:t>
            </w:r>
            <w:r w:rsidRPr="00ED5E28">
              <w:rPr>
                <w:rFonts w:ascii="Arial" w:hAnsi="Arial" w:cs="Arial"/>
              </w:rPr>
              <w:t> </w:t>
            </w:r>
            <w:r w:rsidRPr="00ED5E28">
              <w:t> </w:t>
            </w:r>
          </w:p>
          <w:p w14:paraId="57CD49F7" w14:textId="77777777" w:rsidR="00ED5E28" w:rsidRPr="00ED5E28" w:rsidRDefault="00ED5E28" w:rsidP="00ED5E28">
            <w:pPr>
              <w:numPr>
                <w:ilvl w:val="0"/>
                <w:numId w:val="2"/>
              </w:numPr>
            </w:pPr>
            <w:r w:rsidRPr="00ED5E28">
              <w:t>be sufficiently clear, measurable, and specific,</w:t>
            </w:r>
            <w:r w:rsidRPr="00ED5E28">
              <w:rPr>
                <w:rFonts w:ascii="Arial" w:hAnsi="Arial" w:cs="Arial"/>
              </w:rPr>
              <w:t> </w:t>
            </w:r>
            <w:r w:rsidRPr="00ED5E28">
              <w:t> </w:t>
            </w:r>
          </w:p>
          <w:p w14:paraId="799B68C9" w14:textId="77777777" w:rsidR="00ED5E28" w:rsidRPr="00ED5E28" w:rsidRDefault="00ED5E28" w:rsidP="00ED5E28">
            <w:pPr>
              <w:numPr>
                <w:ilvl w:val="0"/>
                <w:numId w:val="3"/>
              </w:numPr>
            </w:pPr>
            <w:r w:rsidRPr="00ED5E28">
              <w:t>not break the rules on technical specifications in section 56, and</w:t>
            </w:r>
            <w:r w:rsidRPr="00ED5E28">
              <w:rPr>
                <w:rFonts w:ascii="Arial" w:hAnsi="Arial" w:cs="Arial"/>
              </w:rPr>
              <w:t> </w:t>
            </w:r>
            <w:r w:rsidRPr="00ED5E28">
              <w:t> </w:t>
            </w:r>
          </w:p>
          <w:p w14:paraId="5A0FE1FA" w14:textId="77777777" w:rsidR="00ED5E28" w:rsidRPr="00ED5E28" w:rsidRDefault="00ED5E28" w:rsidP="00ED5E28">
            <w:pPr>
              <w:numPr>
                <w:ilvl w:val="0"/>
                <w:numId w:val="4"/>
              </w:numPr>
            </w:pPr>
            <w:r w:rsidRPr="00ED5E28">
              <w:t>be a proportionate means of assessing Tenders, having regard to the nature, complexity, and cost of the Contract.</w:t>
            </w:r>
            <w:r w:rsidRPr="00ED5E28">
              <w:rPr>
                <w:rFonts w:ascii="Arial" w:hAnsi="Arial" w:cs="Arial"/>
              </w:rPr>
              <w:t> </w:t>
            </w:r>
            <w:r w:rsidRPr="00ED5E28">
              <w:t> </w:t>
            </w:r>
          </w:p>
          <w:p w14:paraId="2E5D1082" w14:textId="77777777" w:rsidR="00ED5E28" w:rsidRPr="00ED5E28" w:rsidRDefault="00ED5E28" w:rsidP="00ED5E28">
            <w:r w:rsidRPr="00ED5E28">
              <w:t>Where there are several criteria, their weighting or relative importance must be stated.</w:t>
            </w:r>
            <w:r w:rsidRPr="00ED5E28">
              <w:rPr>
                <w:rFonts w:ascii="Arial" w:hAnsi="Arial" w:cs="Arial"/>
              </w:rPr>
              <w:t> </w:t>
            </w:r>
            <w:r w:rsidRPr="00ED5E28">
              <w:t> </w:t>
            </w:r>
          </w:p>
          <w:p w14:paraId="434F1927" w14:textId="77777777" w:rsidR="00ED5E28" w:rsidRPr="00ED5E28" w:rsidRDefault="00ED5E28" w:rsidP="00ED5E28">
            <w:r w:rsidRPr="00ED5E28">
              <w:t>Officers are also required to describe how the Tenders will be assessed (a scoring matrix), and the document must state whether failing to meet a specific score could amount to a Supplier being excluded from the procurement. </w:t>
            </w:r>
          </w:p>
        </w:tc>
      </w:tr>
      <w:tr w:rsidR="00ED5E28" w:rsidRPr="00ED5E28" w14:paraId="1095A4E9"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C496F9C" w14:textId="77777777" w:rsidR="00ED5E28" w:rsidRPr="00ED5E28" w:rsidRDefault="00ED5E28" w:rsidP="00ED5E28">
            <w:r w:rsidRPr="00ED5E28">
              <w:lastRenderedPageBreak/>
              <w:t>(Regulated/ nominated) Below Threshold Procurement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84B6CB1" w14:textId="77777777" w:rsidR="00ED5E28" w:rsidRPr="00ED5E28" w:rsidRDefault="00ED5E28" w:rsidP="00ED5E28">
            <w:r w:rsidRPr="00ED5E28">
              <w:t xml:space="preserve">A procurement which is below the Covered Procurement threshold and not exempt from the Procurement Act 2023. </w:t>
            </w:r>
            <w:hyperlink r:id="rId10" w:tgtFrame="_blank" w:history="1">
              <w:r w:rsidRPr="00ED5E28">
                <w:rPr>
                  <w:rStyle w:val="Hyperlink"/>
                </w:rPr>
                <w:t>PPN-11_23-New-Thresholds.pdf (publishing.service.gov.uk)</w:t>
              </w:r>
            </w:hyperlink>
            <w:r w:rsidRPr="00ED5E28">
              <w:t>  </w:t>
            </w:r>
          </w:p>
        </w:tc>
      </w:tr>
      <w:tr w:rsidR="00ED5E28" w:rsidRPr="00ED5E28" w14:paraId="6EA2100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7E4339E" w14:textId="77777777" w:rsidR="00ED5E28" w:rsidRPr="00ED5E28" w:rsidRDefault="00ED5E28" w:rsidP="00ED5E28">
            <w:r w:rsidRPr="00ED5E28">
              <w:t>Best Value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89D1E58" w14:textId="77777777" w:rsidR="00ED5E28" w:rsidRPr="00ED5E28" w:rsidRDefault="00ED5E28" w:rsidP="00ED5E28">
            <w:r w:rsidRPr="00ED5E28">
              <w:t>The Best Value Duty relates to the statutory requirement for a local authority as defined in Part 1 of the Local Government Act 1999 to “make arrangements to secure continuous improvement in the way in which its functions are exercised, having regard to a combination of economy, efficiency and effectiveness”.</w:t>
            </w:r>
            <w:r w:rsidRPr="00ED5E28">
              <w:rPr>
                <w:rFonts w:ascii="Arial" w:hAnsi="Arial" w:cs="Arial"/>
              </w:rPr>
              <w:t> </w:t>
            </w:r>
            <w:r w:rsidRPr="00ED5E28">
              <w:t> </w:t>
            </w:r>
          </w:p>
        </w:tc>
      </w:tr>
      <w:tr w:rsidR="00ED5E28" w:rsidRPr="00ED5E28" w14:paraId="687C59D5"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A4DB242" w14:textId="77777777" w:rsidR="00ED5E28" w:rsidRPr="00ED5E28" w:rsidRDefault="00ED5E28" w:rsidP="00ED5E28">
            <w:r w:rsidRPr="00ED5E28">
              <w:t>Breach of Contract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1BC8662" w14:textId="77777777" w:rsidR="00ED5E28" w:rsidRPr="00ED5E28" w:rsidRDefault="00ED5E28" w:rsidP="00ED5E28">
            <w:r w:rsidRPr="00ED5E28">
              <w:t>Failure to meet any of the conditions of the Contract. </w:t>
            </w:r>
          </w:p>
        </w:tc>
      </w:tr>
      <w:tr w:rsidR="00ED5E28" w:rsidRPr="00ED5E28" w14:paraId="306E39A9"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58F2084" w14:textId="77777777" w:rsidR="00ED5E28" w:rsidRPr="00ED5E28" w:rsidRDefault="00ED5E28" w:rsidP="00ED5E28">
            <w:r w:rsidRPr="00ED5E28">
              <w:t>Capital Expenditure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EDF1D27" w14:textId="77777777" w:rsidR="00ED5E28" w:rsidRPr="00ED5E28" w:rsidRDefault="00ED5E28" w:rsidP="00ED5E28">
            <w:r w:rsidRPr="00ED5E28">
              <w:t>Expenditure involving the acquisition or enhancement of fixed assets with a long-term value to the Authority, such as land, buildings, and major items of plant, equipment, or vehicles.</w:t>
            </w:r>
            <w:r w:rsidRPr="00ED5E28">
              <w:rPr>
                <w:rFonts w:ascii="Arial" w:hAnsi="Arial" w:cs="Arial"/>
              </w:rPr>
              <w:t> </w:t>
            </w:r>
            <w:r w:rsidRPr="00ED5E28">
              <w:t> </w:t>
            </w:r>
          </w:p>
        </w:tc>
      </w:tr>
      <w:tr w:rsidR="00ED5E28" w:rsidRPr="00ED5E28" w14:paraId="65B64EFD"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FA6CFBB" w14:textId="77777777" w:rsidR="00ED5E28" w:rsidRPr="00ED5E28" w:rsidRDefault="00ED5E28" w:rsidP="00ED5E28">
            <w:r w:rsidRPr="00ED5E28">
              <w:t>Capital Programme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D7BE96A" w14:textId="77777777" w:rsidR="00ED5E28" w:rsidRPr="00ED5E28" w:rsidRDefault="00ED5E28" w:rsidP="00ED5E28">
            <w:r w:rsidRPr="00ED5E28">
              <w:t>The programme of Capital expenditure agreed by Fire Authority.  </w:t>
            </w:r>
          </w:p>
        </w:tc>
      </w:tr>
      <w:tr w:rsidR="00ED5E28" w:rsidRPr="00ED5E28" w14:paraId="0F1CE8AA"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E0124B1" w14:textId="77777777" w:rsidR="00ED5E28" w:rsidRPr="00ED5E28" w:rsidRDefault="00ED5E28" w:rsidP="00ED5E28">
            <w:r w:rsidRPr="00ED5E28">
              <w:t>Categories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CE9598B" w14:textId="77777777" w:rsidR="00ED5E28" w:rsidRPr="00ED5E28" w:rsidRDefault="00ED5E28" w:rsidP="00ED5E28">
            <w:r w:rsidRPr="00ED5E28">
              <w:t>Where establishing a dynamic market, the Authority may divide the DM into categories (Lots/ specialism) to facilitate access by SMEs and drive effective competition.</w:t>
            </w:r>
            <w:r w:rsidRPr="00ED5E28">
              <w:rPr>
                <w:rFonts w:ascii="Arial" w:hAnsi="Arial" w:cs="Arial"/>
              </w:rPr>
              <w:t> </w:t>
            </w:r>
            <w:r w:rsidRPr="00ED5E28">
              <w:t> </w:t>
            </w:r>
          </w:p>
        </w:tc>
      </w:tr>
      <w:tr w:rsidR="00ED5E28" w:rsidRPr="00ED5E28" w14:paraId="7E1BF417"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31679F4" w14:textId="77777777" w:rsidR="00ED5E28" w:rsidRPr="00ED5E28" w:rsidRDefault="00ED5E28" w:rsidP="00ED5E28">
            <w:r w:rsidRPr="00ED5E28">
              <w:t>Central Digital Platform (CDP) </w:t>
            </w:r>
          </w:p>
        </w:tc>
        <w:tc>
          <w:tcPr>
            <w:tcW w:w="7365" w:type="dxa"/>
            <w:tcBorders>
              <w:top w:val="nil"/>
              <w:left w:val="nil"/>
              <w:bottom w:val="single" w:sz="8" w:space="0" w:color="auto"/>
              <w:right w:val="single" w:sz="8" w:space="0" w:color="auto"/>
            </w:tcBorders>
            <w:vAlign w:val="center"/>
            <w:hideMark/>
          </w:tcPr>
          <w:p w14:paraId="70516852" w14:textId="77777777" w:rsidR="00ED5E28" w:rsidRPr="00ED5E28" w:rsidRDefault="00ED5E28" w:rsidP="00ED5E28">
            <w:r w:rsidRPr="00ED5E28">
              <w:t>The Central Digital Platform will be where all UK Contracting Authorities publish information relating to procurement. It is also the place where identifiers are recorded and/or issued and for suppliers to input their commonly used information. </w:t>
            </w:r>
          </w:p>
        </w:tc>
      </w:tr>
      <w:tr w:rsidR="00ED5E28" w:rsidRPr="00ED5E28" w14:paraId="5333E487"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170228D" w14:textId="77777777" w:rsidR="00ED5E28" w:rsidRPr="00ED5E28" w:rsidRDefault="00ED5E28" w:rsidP="00ED5E28">
            <w:r w:rsidRPr="00ED5E28">
              <w:t>Closed Framework </w:t>
            </w:r>
          </w:p>
        </w:tc>
        <w:tc>
          <w:tcPr>
            <w:tcW w:w="7365" w:type="dxa"/>
            <w:tcBorders>
              <w:top w:val="nil"/>
              <w:left w:val="nil"/>
              <w:bottom w:val="single" w:sz="8" w:space="0" w:color="auto"/>
              <w:right w:val="single" w:sz="8" w:space="0" w:color="auto"/>
            </w:tcBorders>
            <w:vAlign w:val="center"/>
            <w:hideMark/>
          </w:tcPr>
          <w:p w14:paraId="15EA2902" w14:textId="77777777" w:rsidR="00ED5E28" w:rsidRPr="00ED5E28" w:rsidRDefault="00ED5E28" w:rsidP="00ED5E28">
            <w:r w:rsidRPr="00ED5E28">
              <w:t xml:space="preserve">A framework that opens for competition, one or more bidders are appointed and then the framework is closed for any new submissions for </w:t>
            </w:r>
            <w:proofErr w:type="gramStart"/>
            <w:r w:rsidRPr="00ED5E28">
              <w:t>a period of time</w:t>
            </w:r>
            <w:proofErr w:type="gramEnd"/>
            <w:r w:rsidRPr="00ED5E28">
              <w:t>. </w:t>
            </w:r>
          </w:p>
        </w:tc>
      </w:tr>
      <w:tr w:rsidR="00ED5E28" w:rsidRPr="00ED5E28" w14:paraId="3D6E83CB"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8D2EEBB" w14:textId="77777777" w:rsidR="00ED5E28" w:rsidRPr="00ED5E28" w:rsidRDefault="00ED5E28" w:rsidP="00ED5E28">
            <w:r w:rsidRPr="00ED5E28">
              <w:t>Code of Conduct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F1D2DB0" w14:textId="77777777" w:rsidR="00ED5E28" w:rsidRPr="00ED5E28" w:rsidRDefault="00ED5E28" w:rsidP="00ED5E28">
            <w:r w:rsidRPr="00ED5E28">
              <w:t>The code of conduct binding on all officers of the Authority. </w:t>
            </w:r>
          </w:p>
        </w:tc>
      </w:tr>
      <w:tr w:rsidR="00ED5E28" w:rsidRPr="00ED5E28" w14:paraId="2667E8EF"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3C2C7D4" w14:textId="77777777" w:rsidR="00ED5E28" w:rsidRPr="00ED5E28" w:rsidRDefault="00ED5E28" w:rsidP="00ED5E28">
            <w:r w:rsidRPr="00ED5E28">
              <w:t>Common Assessment Standard  </w:t>
            </w:r>
          </w:p>
        </w:tc>
        <w:tc>
          <w:tcPr>
            <w:tcW w:w="7365" w:type="dxa"/>
            <w:tcBorders>
              <w:top w:val="nil"/>
              <w:left w:val="nil"/>
              <w:bottom w:val="single" w:sz="8" w:space="0" w:color="auto"/>
              <w:right w:val="single" w:sz="8" w:space="0" w:color="auto"/>
            </w:tcBorders>
            <w:vAlign w:val="center"/>
            <w:hideMark/>
          </w:tcPr>
          <w:p w14:paraId="7278FBFC" w14:textId="77777777" w:rsidR="00ED5E28" w:rsidRPr="00ED5E28" w:rsidRDefault="00ED5E28" w:rsidP="00ED5E28">
            <w:r w:rsidRPr="00ED5E28">
              <w:t>A standardised pre-qualification questionnaire (PQQ) for the construction sector. It aims to streamline the construction procurement process by providing a unified set of questions for assessing suppliers. </w:t>
            </w:r>
          </w:p>
        </w:tc>
      </w:tr>
      <w:tr w:rsidR="00ED5E28" w:rsidRPr="00ED5E28" w14:paraId="300DEEF0"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B5FF25C" w14:textId="77777777" w:rsidR="00ED5E28" w:rsidRPr="00ED5E28" w:rsidRDefault="00ED5E28" w:rsidP="00ED5E28">
            <w:r w:rsidRPr="00ED5E28">
              <w:lastRenderedPageBreak/>
              <w:t>Competitive Flexible Procedure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AE1B5F3" w14:textId="77777777" w:rsidR="00ED5E28" w:rsidRPr="00ED5E28" w:rsidRDefault="00ED5E28" w:rsidP="00ED5E28">
            <w:r w:rsidRPr="00ED5E28">
              <w:t>This is a multi-staged procurement which can include: a discrete Conditions Of Participation stage, limiting Suppliers (following the SQ or other assessments), one or more Tender rounds (and intermediate assessments), refinement of the Award Criteria, modification of the Tender procedure, interaction with the Suppliers (e.g., negotiations, presentations, site visits) and then following a final submission, there is a potential to finesse the submission and subsequent staged awards – all of this being subject to what was specified in the Invitation to Tender document.</w:t>
            </w:r>
            <w:r w:rsidRPr="00ED5E28">
              <w:rPr>
                <w:rFonts w:ascii="Arial" w:hAnsi="Arial" w:cs="Arial"/>
              </w:rPr>
              <w:t> </w:t>
            </w:r>
            <w:r w:rsidRPr="00ED5E28">
              <w:t> </w:t>
            </w:r>
          </w:p>
        </w:tc>
      </w:tr>
      <w:tr w:rsidR="00ED5E28" w:rsidRPr="00ED5E28" w14:paraId="09F0092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19447DA" w14:textId="77777777" w:rsidR="00ED5E28" w:rsidRPr="00ED5E28" w:rsidRDefault="00ED5E28" w:rsidP="00ED5E28">
            <w:r w:rsidRPr="00ED5E28">
              <w:t>Competitive Selection Process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09547CB" w14:textId="77777777" w:rsidR="00ED5E28" w:rsidRPr="00ED5E28" w:rsidRDefault="00ED5E28" w:rsidP="00ED5E28">
            <w:r w:rsidRPr="00ED5E28">
              <w:t>A procurement process where all the Suppliers on the Framework (or a specific Lot) are invited to submit a Tender in line with the Framework rules and in line with the Specification for the Contract to be let, and the Specification of the Framework.</w:t>
            </w:r>
            <w:r w:rsidRPr="00ED5E28">
              <w:rPr>
                <w:rFonts w:ascii="Arial" w:hAnsi="Arial" w:cs="Arial"/>
              </w:rPr>
              <w:t>  </w:t>
            </w:r>
            <w:r w:rsidRPr="00ED5E28">
              <w:t> </w:t>
            </w:r>
          </w:p>
        </w:tc>
      </w:tr>
      <w:tr w:rsidR="00ED5E28" w:rsidRPr="00ED5E28" w14:paraId="01F1BA7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89C88F7" w14:textId="77777777" w:rsidR="00ED5E28" w:rsidRPr="00ED5E28" w:rsidRDefault="00ED5E28" w:rsidP="00ED5E28">
            <w:r w:rsidRPr="00ED5E28">
              <w:t>Competitive Tendering Procedures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83F5D7A" w14:textId="77777777" w:rsidR="00ED5E28" w:rsidRPr="00ED5E28" w:rsidRDefault="00ED5E28" w:rsidP="00ED5E28">
            <w:r w:rsidRPr="00ED5E28">
              <w:t>This includes the Open Procedure and the Competitive Flexible Procedure</w:t>
            </w:r>
            <w:r w:rsidRPr="00ED5E28">
              <w:rPr>
                <w:rFonts w:ascii="Arial" w:hAnsi="Arial" w:cs="Arial"/>
              </w:rPr>
              <w:t> </w:t>
            </w:r>
            <w:r w:rsidRPr="00ED5E28">
              <w:t> </w:t>
            </w:r>
          </w:p>
        </w:tc>
      </w:tr>
      <w:tr w:rsidR="00ED5E28" w:rsidRPr="00ED5E28" w14:paraId="35A5991A"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18AE9A1" w14:textId="77777777" w:rsidR="00ED5E28" w:rsidRPr="00ED5E28" w:rsidRDefault="00ED5E28" w:rsidP="00ED5E28">
            <w:r w:rsidRPr="00ED5E28">
              <w:t>Concession Contracts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9319823" w14:textId="77777777" w:rsidR="00ED5E28" w:rsidRPr="00ED5E28" w:rsidRDefault="00ED5E28" w:rsidP="00ED5E28">
            <w:r w:rsidRPr="00ED5E28">
              <w:t>A Contract for the supply, for pecuniary interest, of works or services to an Authority where —</w:t>
            </w:r>
            <w:r w:rsidRPr="00ED5E28">
              <w:rPr>
                <w:rFonts w:ascii="Arial" w:hAnsi="Arial" w:cs="Arial"/>
              </w:rPr>
              <w:t> </w:t>
            </w:r>
            <w:r w:rsidRPr="00ED5E28">
              <w:t> </w:t>
            </w:r>
          </w:p>
          <w:p w14:paraId="3EA64E9B" w14:textId="77777777" w:rsidR="00ED5E28" w:rsidRPr="00ED5E28" w:rsidRDefault="00ED5E28" w:rsidP="00ED5E28">
            <w:pPr>
              <w:numPr>
                <w:ilvl w:val="0"/>
                <w:numId w:val="5"/>
              </w:numPr>
            </w:pPr>
            <w:r w:rsidRPr="00ED5E28">
              <w:t>at least part of the consideration for that supply is a right to exploit, and</w:t>
            </w:r>
            <w:r w:rsidRPr="00ED5E28">
              <w:rPr>
                <w:rFonts w:ascii="Arial" w:hAnsi="Arial" w:cs="Arial"/>
              </w:rPr>
              <w:t> </w:t>
            </w:r>
            <w:r w:rsidRPr="00ED5E28">
              <w:t> </w:t>
            </w:r>
          </w:p>
          <w:p w14:paraId="0D226CA0" w14:textId="77777777" w:rsidR="00ED5E28" w:rsidRPr="00ED5E28" w:rsidRDefault="00ED5E28" w:rsidP="00ED5E28">
            <w:pPr>
              <w:numPr>
                <w:ilvl w:val="0"/>
                <w:numId w:val="6"/>
              </w:numPr>
            </w:pPr>
            <w:r w:rsidRPr="00ED5E28">
              <w:t>under the Contract the Supplier is exposed to a real operating risk.</w:t>
            </w:r>
            <w:r w:rsidRPr="00ED5E28">
              <w:rPr>
                <w:rFonts w:ascii="Arial" w:hAnsi="Arial" w:cs="Arial"/>
              </w:rPr>
              <w:t> </w:t>
            </w:r>
            <w:r w:rsidRPr="00ED5E28">
              <w:t> </w:t>
            </w:r>
          </w:p>
          <w:p w14:paraId="7CADE135" w14:textId="77777777" w:rsidR="00ED5E28" w:rsidRPr="00ED5E28" w:rsidRDefault="00ED5E28" w:rsidP="00ED5E28">
            <w:r w:rsidRPr="00ED5E28">
              <w:t>(It may also be paid for by service users rather than the Authority).</w:t>
            </w:r>
            <w:r w:rsidRPr="00ED5E28">
              <w:rPr>
                <w:rFonts w:ascii="Arial" w:hAnsi="Arial" w:cs="Arial"/>
              </w:rPr>
              <w:t> </w:t>
            </w:r>
            <w:r w:rsidRPr="00ED5E28">
              <w:t> </w:t>
            </w:r>
          </w:p>
        </w:tc>
      </w:tr>
      <w:tr w:rsidR="00ED5E28" w:rsidRPr="00ED5E28" w14:paraId="5E82255A"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CEF552F" w14:textId="77777777" w:rsidR="00ED5E28" w:rsidRPr="00ED5E28" w:rsidRDefault="00ED5E28" w:rsidP="00ED5E28">
            <w:r w:rsidRPr="00ED5E28">
              <w:t>Conditions Of Participation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4A3C4A3" w14:textId="77777777" w:rsidR="00ED5E28" w:rsidRPr="00ED5E28" w:rsidRDefault="00ED5E28" w:rsidP="00ED5E28">
            <w:r w:rsidRPr="00ED5E28">
              <w:t>These are conditions that a Supplier must satisfy if the Supplier is to be awarded the Contract. </w:t>
            </w:r>
          </w:p>
          <w:p w14:paraId="49BB95E1" w14:textId="77777777" w:rsidR="00ED5E28" w:rsidRPr="00ED5E28" w:rsidRDefault="00ED5E28" w:rsidP="00ED5E28">
            <w:r w:rsidRPr="00ED5E28">
              <w:t>These conditions must be a proportionate means of assuring that a Supplier has: </w:t>
            </w:r>
          </w:p>
          <w:p w14:paraId="3C71AB89" w14:textId="77777777" w:rsidR="00ED5E28" w:rsidRPr="00ED5E28" w:rsidRDefault="00ED5E28" w:rsidP="00ED5E28">
            <w:pPr>
              <w:numPr>
                <w:ilvl w:val="0"/>
                <w:numId w:val="7"/>
              </w:numPr>
            </w:pPr>
            <w:r w:rsidRPr="00ED5E28">
              <w:t>the legal and financial capacity to perform the Contract, or</w:t>
            </w:r>
            <w:r w:rsidRPr="00ED5E28">
              <w:rPr>
                <w:rFonts w:ascii="Arial" w:hAnsi="Arial" w:cs="Arial"/>
              </w:rPr>
              <w:t> </w:t>
            </w:r>
            <w:r w:rsidRPr="00ED5E28">
              <w:t> </w:t>
            </w:r>
          </w:p>
          <w:p w14:paraId="6FCE7597" w14:textId="77777777" w:rsidR="00ED5E28" w:rsidRPr="00ED5E28" w:rsidRDefault="00ED5E28" w:rsidP="00ED5E28">
            <w:pPr>
              <w:numPr>
                <w:ilvl w:val="0"/>
                <w:numId w:val="8"/>
              </w:numPr>
            </w:pPr>
            <w:r w:rsidRPr="00ED5E28">
              <w:t>the technical ability to perform the Contract.</w:t>
            </w:r>
            <w:r w:rsidRPr="00ED5E28">
              <w:rPr>
                <w:rFonts w:ascii="Arial" w:hAnsi="Arial" w:cs="Arial"/>
              </w:rPr>
              <w:t> </w:t>
            </w:r>
            <w:r w:rsidRPr="00ED5E28">
              <w:t> </w:t>
            </w:r>
          </w:p>
        </w:tc>
      </w:tr>
      <w:tr w:rsidR="00ED5E28" w:rsidRPr="00ED5E28" w14:paraId="1F14D0B5"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1DFE582" w14:textId="77777777" w:rsidR="00ED5E28" w:rsidRPr="00ED5E28" w:rsidRDefault="00ED5E28" w:rsidP="00ED5E28">
            <w:r w:rsidRPr="00ED5E28">
              <w:t>Conditions of Tendering</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57470B6" w14:textId="77777777" w:rsidR="00ED5E28" w:rsidRPr="00ED5E28" w:rsidRDefault="00ED5E28" w:rsidP="00ED5E28">
            <w:r w:rsidRPr="00ED5E28">
              <w:t>The rules/conditions by which a competitive procurement process will be conducted, and with which a Supplier must comply if they are not to be excluded from the procurement process.</w:t>
            </w:r>
            <w:r w:rsidRPr="00ED5E28">
              <w:rPr>
                <w:rFonts w:ascii="Arial" w:hAnsi="Arial" w:cs="Arial"/>
              </w:rPr>
              <w:t> </w:t>
            </w:r>
            <w:r w:rsidRPr="00ED5E28">
              <w:t> </w:t>
            </w:r>
          </w:p>
        </w:tc>
      </w:tr>
      <w:tr w:rsidR="00ED5E28" w:rsidRPr="00ED5E28" w14:paraId="37F6D57D"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C977A61" w14:textId="77777777" w:rsidR="00ED5E28" w:rsidRPr="00ED5E28" w:rsidRDefault="00ED5E28" w:rsidP="00ED5E28">
            <w:r w:rsidRPr="00ED5E28">
              <w:lastRenderedPageBreak/>
              <w:t>Conflict Assessments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A3ED824" w14:textId="77777777" w:rsidR="00ED5E28" w:rsidRPr="00ED5E28" w:rsidRDefault="00ED5E28" w:rsidP="00ED5E28">
            <w:r w:rsidRPr="00ED5E28">
              <w:t>An assessment that has been carried out by the Authority and in which it identifies all and any potential or actual conflicts and the actions taken/to be taken to mitigate them to ensure equal treatment.</w:t>
            </w:r>
            <w:r w:rsidRPr="00ED5E28">
              <w:rPr>
                <w:rFonts w:ascii="Arial" w:hAnsi="Arial" w:cs="Arial"/>
              </w:rPr>
              <w:t> </w:t>
            </w:r>
            <w:r w:rsidRPr="00ED5E28">
              <w:t> </w:t>
            </w:r>
          </w:p>
        </w:tc>
      </w:tr>
      <w:tr w:rsidR="00ED5E28" w:rsidRPr="00ED5E28" w14:paraId="7F8F701A"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368F248" w14:textId="77777777" w:rsidR="00ED5E28" w:rsidRPr="00ED5E28" w:rsidRDefault="00ED5E28" w:rsidP="00ED5E28">
            <w:r w:rsidRPr="00ED5E28">
              <w:t>Conflict of Interest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C236DC7" w14:textId="77777777" w:rsidR="00ED5E28" w:rsidRPr="00ED5E28" w:rsidRDefault="00ED5E28" w:rsidP="00ED5E28">
            <w:r w:rsidRPr="00ED5E28">
              <w:t>The Act requires Contracting Authorities to identify and keep under review actual and potential conflicts of interest. </w:t>
            </w:r>
          </w:p>
          <w:p w14:paraId="363738EB" w14:textId="77777777" w:rsidR="00ED5E28" w:rsidRPr="00ED5E28" w:rsidRDefault="00ED5E28" w:rsidP="00ED5E28">
            <w:r w:rsidRPr="00ED5E28">
              <w:t>Contracting Authorities must also mitigate conflicts of interest and address circumstances which they consider are likely to cause a reasonable person to wrongly believe there to be a conflict or potential conflict of interest (’perceived conflict of interest’). </w:t>
            </w:r>
          </w:p>
        </w:tc>
      </w:tr>
      <w:tr w:rsidR="00ED5E28" w:rsidRPr="00ED5E28" w14:paraId="07D82784"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CCC8264" w14:textId="77777777" w:rsidR="00ED5E28" w:rsidRPr="00ED5E28" w:rsidRDefault="00ED5E28" w:rsidP="00ED5E28">
            <w:r w:rsidRPr="00ED5E28">
              <w:t>Contract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CB3145E" w14:textId="77777777" w:rsidR="00ED5E28" w:rsidRPr="00ED5E28" w:rsidRDefault="00ED5E28" w:rsidP="00ED5E28">
            <w:r w:rsidRPr="00ED5E28">
              <w:t>An agreement to be made/concluded in writing between the Authority and a Supplier for a specific set of requirements. </w:t>
            </w:r>
          </w:p>
          <w:p w14:paraId="4D210C0D" w14:textId="77777777" w:rsidR="00ED5E28" w:rsidRPr="00ED5E28" w:rsidRDefault="00ED5E28" w:rsidP="00ED5E28">
            <w:r w:rsidRPr="00ED5E28">
              <w:t>For a low value contract, this may be made by way of raising a Purchase Order (PO) and attaching the Authority’s standard PO terms and conditions.</w:t>
            </w:r>
            <w:r w:rsidRPr="00ED5E28">
              <w:rPr>
                <w:rFonts w:ascii="Arial" w:hAnsi="Arial" w:cs="Arial"/>
              </w:rPr>
              <w:t> </w:t>
            </w:r>
            <w:r w:rsidRPr="00ED5E28">
              <w:t> </w:t>
            </w:r>
          </w:p>
        </w:tc>
      </w:tr>
      <w:tr w:rsidR="00ED5E28" w:rsidRPr="00ED5E28" w14:paraId="7D539517"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A70AFCC" w14:textId="77777777" w:rsidR="00ED5E28" w:rsidRPr="00ED5E28" w:rsidRDefault="00ED5E28" w:rsidP="00ED5E28">
            <w:r w:rsidRPr="00ED5E28">
              <w:t>Contract Award Notice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014EB78" w14:textId="77777777" w:rsidR="00ED5E28" w:rsidRPr="00ED5E28" w:rsidRDefault="00ED5E28" w:rsidP="00ED5E28">
            <w:r w:rsidRPr="00ED5E28">
              <w:t>A notice that is published on the Central Digital Platform and that informs the market of and intent to award and where a Mandatory Standstill Period (or Voluntary Standstill Period) is required. This notice initiates that Standstill Period. </w:t>
            </w:r>
          </w:p>
          <w:p w14:paraId="5D9A2393" w14:textId="77777777" w:rsidR="00ED5E28" w:rsidRPr="00ED5E28" w:rsidRDefault="00ED5E28" w:rsidP="00ED5E28">
            <w:r w:rsidRPr="00ED5E28">
              <w:t>There is a different form of notice for below and above threshold procurements.</w:t>
            </w:r>
            <w:r w:rsidRPr="00ED5E28">
              <w:rPr>
                <w:rFonts w:ascii="Arial" w:hAnsi="Arial" w:cs="Arial"/>
              </w:rPr>
              <w:t> </w:t>
            </w:r>
            <w:r w:rsidRPr="00ED5E28">
              <w:t> </w:t>
            </w:r>
          </w:p>
        </w:tc>
      </w:tr>
      <w:tr w:rsidR="00ED5E28" w:rsidRPr="00ED5E28" w14:paraId="743135D0"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A8B99A1" w14:textId="77777777" w:rsidR="00ED5E28" w:rsidRPr="00ED5E28" w:rsidRDefault="00ED5E28" w:rsidP="00ED5E28">
            <w:r w:rsidRPr="00ED5E28">
              <w:t>Contract Change Notice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8917C26" w14:textId="77777777" w:rsidR="00ED5E28" w:rsidRPr="00ED5E28" w:rsidRDefault="00ED5E28" w:rsidP="00ED5E28">
            <w:r w:rsidRPr="00ED5E28">
              <w:t>For Contracts let under the Procurement Act 2023, this is a notice that must be published before a Contract modification is applied in accordance with Section 75.</w:t>
            </w:r>
            <w:r w:rsidRPr="00ED5E28">
              <w:rPr>
                <w:rFonts w:ascii="Arial" w:hAnsi="Arial" w:cs="Arial"/>
              </w:rPr>
              <w:t> </w:t>
            </w:r>
            <w:r w:rsidRPr="00ED5E28">
              <w:t> </w:t>
            </w:r>
          </w:p>
          <w:p w14:paraId="70547C4B" w14:textId="77777777" w:rsidR="00ED5E28" w:rsidRPr="00ED5E28" w:rsidRDefault="00ED5E28" w:rsidP="00ED5E28">
            <w:r w:rsidRPr="00ED5E28">
              <w:t>For Contracts let under the Public Contracts Regulations 2015, a modification notice must be published where a modification is made under Regulation72(b) or 72(c).</w:t>
            </w:r>
            <w:r w:rsidRPr="00ED5E28">
              <w:rPr>
                <w:rFonts w:ascii="Arial" w:hAnsi="Arial" w:cs="Arial"/>
              </w:rPr>
              <w:t> </w:t>
            </w:r>
            <w:r w:rsidRPr="00ED5E28">
              <w:t> </w:t>
            </w:r>
          </w:p>
        </w:tc>
      </w:tr>
      <w:tr w:rsidR="00ED5E28" w:rsidRPr="00ED5E28" w14:paraId="187DB77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EEA7469" w14:textId="77777777" w:rsidR="00ED5E28" w:rsidRPr="00ED5E28" w:rsidRDefault="00ED5E28" w:rsidP="00ED5E28">
            <w:r w:rsidRPr="00ED5E28">
              <w:t>Contract Details Notice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3809FC3" w14:textId="77777777" w:rsidR="00ED5E28" w:rsidRPr="00ED5E28" w:rsidRDefault="00ED5E28" w:rsidP="00ED5E28">
            <w:r w:rsidRPr="00ED5E28">
              <w:t>A notice that confirms that the Contract has been entered into in accordance with Section 53 of the Procurement Act 2023. There is a different form of notice for below and above threshold procurements.</w:t>
            </w:r>
            <w:r w:rsidRPr="00ED5E28">
              <w:rPr>
                <w:rFonts w:ascii="Arial" w:hAnsi="Arial" w:cs="Arial"/>
              </w:rPr>
              <w:t> </w:t>
            </w:r>
            <w:r w:rsidRPr="00ED5E28">
              <w:t> </w:t>
            </w:r>
          </w:p>
        </w:tc>
      </w:tr>
      <w:tr w:rsidR="00ED5E28" w:rsidRPr="00ED5E28" w14:paraId="2D95BA0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9F4DA01" w14:textId="77777777" w:rsidR="00ED5E28" w:rsidRPr="00ED5E28" w:rsidRDefault="00ED5E28" w:rsidP="00ED5E28">
            <w:r w:rsidRPr="00ED5E28">
              <w:t>Contract Management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15C168E" w14:textId="77777777" w:rsidR="00ED5E28" w:rsidRPr="00ED5E28" w:rsidRDefault="00ED5E28" w:rsidP="00ED5E28">
            <w:r w:rsidRPr="00ED5E28">
              <w:t xml:space="preserve">Contract Management is the active management of the relationship between the Authority and the Supplier over the term of the Contract </w:t>
            </w:r>
            <w:r w:rsidRPr="00ED5E28">
              <w:lastRenderedPageBreak/>
              <w:t>for the provision of services, goods or works to a set of agreed standards.</w:t>
            </w:r>
            <w:r w:rsidRPr="00ED5E28">
              <w:rPr>
                <w:rFonts w:ascii="Arial" w:hAnsi="Arial" w:cs="Arial"/>
              </w:rPr>
              <w:t> </w:t>
            </w:r>
            <w:r w:rsidRPr="00ED5E28">
              <w:t> </w:t>
            </w:r>
          </w:p>
          <w:p w14:paraId="34DA1649" w14:textId="77777777" w:rsidR="00ED5E28" w:rsidRPr="00ED5E28" w:rsidRDefault="00ED5E28" w:rsidP="00ED5E28">
            <w:r w:rsidRPr="00ED5E28">
              <w:t> </w:t>
            </w:r>
          </w:p>
        </w:tc>
      </w:tr>
      <w:tr w:rsidR="00ED5E28" w:rsidRPr="00ED5E28" w14:paraId="02B93655"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40F3BCB" w14:textId="77777777" w:rsidR="00ED5E28" w:rsidRPr="00ED5E28" w:rsidRDefault="00ED5E28" w:rsidP="00ED5E28">
            <w:r w:rsidRPr="00ED5E28">
              <w:lastRenderedPageBreak/>
              <w:t>Contract Management Notices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775C7FE" w14:textId="77777777" w:rsidR="00ED5E28" w:rsidRPr="00ED5E28" w:rsidRDefault="00ED5E28" w:rsidP="00ED5E28">
            <w:r w:rsidRPr="00ED5E28">
              <w:t>For Contracts valued over £5 million, under the Procurement Act 2023, the Authority is required to publish KPIs and an assessment of performance against those KPIs. </w:t>
            </w:r>
          </w:p>
          <w:p w14:paraId="3C862EAB" w14:textId="77777777" w:rsidR="00ED5E28" w:rsidRPr="00ED5E28" w:rsidRDefault="00ED5E28" w:rsidP="00ED5E28">
            <w:r w:rsidRPr="00ED5E28">
              <w:t>In addition, the  Authority must publish a poor performance notice where the Supplier has breached a Public Contract and that breach has resulted in termination, partial termination, award of damages, or a settlement agreement; or the Authority considers that a Supplier is not performing a Public Contract to the Authority’s satisfaction (even if the Supplier is not in breach of the contract); and having been given a proper opportunity to improve performance has failed to do so. </w:t>
            </w:r>
          </w:p>
        </w:tc>
      </w:tr>
      <w:tr w:rsidR="00ED5E28" w:rsidRPr="00ED5E28" w14:paraId="395C13A5"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666170D" w14:textId="77777777" w:rsidR="00ED5E28" w:rsidRPr="00ED5E28" w:rsidRDefault="00ED5E28" w:rsidP="00ED5E28">
            <w:r w:rsidRPr="00ED5E28">
              <w:t>Contract Managers/ Contracting Officer</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58EFBBB" w14:textId="77777777" w:rsidR="00ED5E28" w:rsidRPr="00ED5E28" w:rsidRDefault="00ED5E28" w:rsidP="00ED5E28">
            <w:r w:rsidRPr="00ED5E28">
              <w:t>An officer with responsibility for conducting the purchasing processes for the purchase of works, goods or services on behalf of the Authority and that manages the resultant Contract and ensures day-to-day activities are conducted in accordance with its terms and conditions.  </w:t>
            </w:r>
          </w:p>
        </w:tc>
      </w:tr>
      <w:tr w:rsidR="00ED5E28" w:rsidRPr="00ED5E28" w14:paraId="7904B754"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C6A6B33" w14:textId="77777777" w:rsidR="00ED5E28" w:rsidRPr="00ED5E28" w:rsidRDefault="00ED5E28" w:rsidP="00ED5E28">
            <w:r w:rsidRPr="00ED5E28">
              <w:t>Contract Modification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99F373B" w14:textId="77777777" w:rsidR="00ED5E28" w:rsidRPr="00ED5E28" w:rsidRDefault="00ED5E28" w:rsidP="00ED5E28">
            <w:r w:rsidRPr="00ED5E28">
              <w:t>For Contracts let under the Procurement Act 2023, this is a modification permitted under Section 74 and Schedule 8 of the Act or is not a substantial modification or is a below-threshold modification.</w:t>
            </w:r>
            <w:r w:rsidRPr="00ED5E28">
              <w:rPr>
                <w:rFonts w:ascii="Arial" w:hAnsi="Arial" w:cs="Arial"/>
              </w:rPr>
              <w:t> </w:t>
            </w:r>
            <w:r w:rsidRPr="00ED5E28">
              <w:t> </w:t>
            </w:r>
          </w:p>
          <w:p w14:paraId="2C1692A6" w14:textId="77777777" w:rsidR="00ED5E28" w:rsidRPr="00ED5E28" w:rsidRDefault="00ED5E28" w:rsidP="00ED5E28">
            <w:r w:rsidRPr="00ED5E28">
              <w:t>For Contracts let under the Public Contracts Regulations 2015, this is a modification permitted under Regulation 72.</w:t>
            </w:r>
            <w:r w:rsidRPr="00ED5E28">
              <w:rPr>
                <w:rFonts w:ascii="Arial" w:hAnsi="Arial" w:cs="Arial"/>
              </w:rPr>
              <w:t> </w:t>
            </w:r>
            <w:r w:rsidRPr="00ED5E28">
              <w:t> </w:t>
            </w:r>
          </w:p>
        </w:tc>
      </w:tr>
      <w:tr w:rsidR="00ED5E28" w:rsidRPr="00ED5E28" w14:paraId="1F0A458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4FA073A" w14:textId="77777777" w:rsidR="00ED5E28" w:rsidRPr="00ED5E28" w:rsidRDefault="00ED5E28" w:rsidP="00ED5E28">
            <w:r w:rsidRPr="00ED5E28">
              <w:t>Contracts Standing Orders (CSOs) </w:t>
            </w:r>
          </w:p>
        </w:tc>
        <w:tc>
          <w:tcPr>
            <w:tcW w:w="7365" w:type="dxa"/>
            <w:tcBorders>
              <w:top w:val="nil"/>
              <w:left w:val="nil"/>
              <w:bottom w:val="single" w:sz="8" w:space="0" w:color="auto"/>
              <w:right w:val="single" w:sz="8" w:space="0" w:color="auto"/>
            </w:tcBorders>
            <w:vAlign w:val="center"/>
            <w:hideMark/>
          </w:tcPr>
          <w:p w14:paraId="46F423B2" w14:textId="77777777" w:rsidR="00ED5E28" w:rsidRPr="00ED5E28" w:rsidRDefault="00ED5E28" w:rsidP="00ED5E28">
            <w:r w:rsidRPr="00ED5E28">
              <w:t>The key document which sets out the Authority’s principles of procurement, roles and responsibilities, contract procedure rules and processes involved in purchasing services, goods, and works contracts.</w:t>
            </w:r>
            <w:r w:rsidRPr="00ED5E28">
              <w:rPr>
                <w:rFonts w:ascii="Arial" w:hAnsi="Arial" w:cs="Arial"/>
              </w:rPr>
              <w:t> </w:t>
            </w:r>
            <w:r w:rsidRPr="00ED5E28">
              <w:t> </w:t>
            </w:r>
          </w:p>
        </w:tc>
      </w:tr>
      <w:tr w:rsidR="00ED5E28" w:rsidRPr="00ED5E28" w14:paraId="0FA5BCD2"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819E1B2" w14:textId="77777777" w:rsidR="00ED5E28" w:rsidRPr="00ED5E28" w:rsidRDefault="00ED5E28" w:rsidP="00ED5E28">
            <w:r w:rsidRPr="00ED5E28">
              <w:t>Contract Register</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3F45676" w14:textId="77777777" w:rsidR="00ED5E28" w:rsidRPr="00ED5E28" w:rsidRDefault="00ED5E28" w:rsidP="00ED5E28">
            <w:r w:rsidRPr="00ED5E28">
              <w:t>A register of Authority’s Contracts that exceed £5,000, made publicly available via the Authority’s website.</w:t>
            </w:r>
            <w:r w:rsidRPr="00ED5E28">
              <w:rPr>
                <w:rFonts w:ascii="Arial" w:hAnsi="Arial" w:cs="Arial"/>
              </w:rPr>
              <w:t> </w:t>
            </w:r>
            <w:r w:rsidRPr="00ED5E28">
              <w:t> </w:t>
            </w:r>
          </w:p>
        </w:tc>
      </w:tr>
      <w:tr w:rsidR="00ED5E28" w:rsidRPr="00ED5E28" w14:paraId="377D2A5F"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449707F" w14:textId="77777777" w:rsidR="00ED5E28" w:rsidRPr="00ED5E28" w:rsidRDefault="00ED5E28" w:rsidP="00ED5E28">
            <w:r w:rsidRPr="00ED5E28">
              <w:t>Contract Value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06D986B" w14:textId="77777777" w:rsidR="00ED5E28" w:rsidRPr="00ED5E28" w:rsidRDefault="00ED5E28" w:rsidP="00ED5E28">
            <w:r w:rsidRPr="00ED5E28">
              <w:t>The estimated total monetary value of a Contract over its full duration and any extensions or potential variations. (N.B. not just the annual value.) Where the duration of a Contract is indeterminate, this will be taken to be the estimated value of the Contract over a period of four years.</w:t>
            </w:r>
            <w:r w:rsidRPr="00ED5E28">
              <w:rPr>
                <w:rFonts w:ascii="Arial" w:hAnsi="Arial" w:cs="Arial"/>
              </w:rPr>
              <w:t> </w:t>
            </w:r>
            <w:r w:rsidRPr="00ED5E28">
              <w:t> </w:t>
            </w:r>
          </w:p>
        </w:tc>
      </w:tr>
      <w:tr w:rsidR="00ED5E28" w:rsidRPr="00ED5E28" w14:paraId="65CC6B8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7CF4EC2" w14:textId="77777777" w:rsidR="00ED5E28" w:rsidRPr="00ED5E28" w:rsidRDefault="00ED5E28" w:rsidP="00ED5E28">
            <w:r w:rsidRPr="00ED5E28">
              <w:lastRenderedPageBreak/>
              <w:t>Covered Procurement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70D56EC" w14:textId="77777777" w:rsidR="00ED5E28" w:rsidRPr="00ED5E28" w:rsidRDefault="00ED5E28" w:rsidP="00ED5E28">
            <w:r w:rsidRPr="00ED5E28">
              <w:t xml:space="preserve">An above threshold procurement that is intended to result in a Public Contract. </w:t>
            </w:r>
            <w:hyperlink r:id="rId11" w:tgtFrame="_blank" w:history="1">
              <w:r w:rsidRPr="00ED5E28">
                <w:rPr>
                  <w:rStyle w:val="Hyperlink"/>
                </w:rPr>
                <w:t>PPN-11_23-New-Thresholds.pdf (publishing.service.gov.uk)</w:t>
              </w:r>
            </w:hyperlink>
            <w:r w:rsidRPr="00ED5E28">
              <w:t>  </w:t>
            </w:r>
          </w:p>
        </w:tc>
      </w:tr>
      <w:tr w:rsidR="00ED5E28" w:rsidRPr="00ED5E28" w14:paraId="213D6461"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E462B67" w14:textId="77777777" w:rsidR="00ED5E28" w:rsidRPr="00ED5E28" w:rsidRDefault="00ED5E28" w:rsidP="00ED5E28">
            <w:r w:rsidRPr="00ED5E28">
              <w:t>Data Protection Act 2018</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4FBF6F2" w14:textId="77777777" w:rsidR="00ED5E28" w:rsidRPr="00ED5E28" w:rsidRDefault="00ED5E28" w:rsidP="00ED5E28">
            <w:r w:rsidRPr="00ED5E28">
              <w:t>The legislation that controls how personal information is used by organisations, businesses, and/or the Government.</w:t>
            </w:r>
            <w:r w:rsidRPr="00ED5E28">
              <w:rPr>
                <w:rFonts w:ascii="Arial" w:hAnsi="Arial" w:cs="Arial"/>
              </w:rPr>
              <w:t> </w:t>
            </w:r>
            <w:r w:rsidRPr="00ED5E28">
              <w:t> </w:t>
            </w:r>
          </w:p>
        </w:tc>
      </w:tr>
      <w:tr w:rsidR="00ED5E28" w:rsidRPr="00ED5E28" w14:paraId="0C20AF1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B409522" w14:textId="77777777" w:rsidR="00ED5E28" w:rsidRPr="00ED5E28" w:rsidRDefault="00ED5E28" w:rsidP="00ED5E28">
            <w:r w:rsidRPr="00ED5E28">
              <w:t>Dialogue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7A62687" w14:textId="77777777" w:rsidR="00ED5E28" w:rsidRPr="00ED5E28" w:rsidRDefault="00ED5E28" w:rsidP="00ED5E28">
            <w:r w:rsidRPr="00ED5E28">
              <w:t>A discussion between the Authority and Suppliers about any aspect of the procurement.</w:t>
            </w:r>
            <w:r w:rsidRPr="00ED5E28">
              <w:rPr>
                <w:rFonts w:ascii="Arial" w:hAnsi="Arial" w:cs="Arial"/>
              </w:rPr>
              <w:t> </w:t>
            </w:r>
            <w:r w:rsidRPr="00ED5E28">
              <w:t> </w:t>
            </w:r>
          </w:p>
        </w:tc>
      </w:tr>
      <w:tr w:rsidR="00ED5E28" w:rsidRPr="00ED5E28" w14:paraId="755BBDE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CEA8323" w14:textId="77777777" w:rsidR="00ED5E28" w:rsidRPr="00ED5E28" w:rsidRDefault="00ED5E28" w:rsidP="00ED5E28">
            <w:r w:rsidRPr="00ED5E28">
              <w:t>Direct Award</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BB5B7DF" w14:textId="77777777" w:rsidR="00ED5E28" w:rsidRPr="00ED5E28" w:rsidRDefault="00ED5E28" w:rsidP="00ED5E28">
            <w:r w:rsidRPr="00ED5E28">
              <w:t>The award of a Contract without a competitive process.</w:t>
            </w:r>
            <w:r w:rsidRPr="00ED5E28">
              <w:rPr>
                <w:rFonts w:ascii="Arial" w:hAnsi="Arial" w:cs="Arial"/>
              </w:rPr>
              <w:t> </w:t>
            </w:r>
            <w:r w:rsidRPr="00ED5E28">
              <w:t> </w:t>
            </w:r>
          </w:p>
        </w:tc>
      </w:tr>
      <w:tr w:rsidR="00ED5E28" w:rsidRPr="00ED5E28" w14:paraId="51C8259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B91233A" w14:textId="77777777" w:rsidR="00ED5E28" w:rsidRPr="00ED5E28" w:rsidRDefault="00ED5E28" w:rsidP="00ED5E28">
            <w:r w:rsidRPr="00ED5E28">
              <w:t>Discretionary Exclusion Grounds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A015FE1" w14:textId="77777777" w:rsidR="00ED5E28" w:rsidRPr="00ED5E28" w:rsidRDefault="00ED5E28" w:rsidP="00ED5E28">
            <w:r w:rsidRPr="00ED5E28">
              <w:t>These are set out in Schedule 7</w:t>
            </w:r>
            <w:r w:rsidRPr="00ED5E28">
              <w:rPr>
                <w:rFonts w:ascii="Arial" w:hAnsi="Arial" w:cs="Arial"/>
              </w:rPr>
              <w:t> </w:t>
            </w:r>
            <w:r w:rsidRPr="00ED5E28">
              <w:t>of the Procurement Act 2023. </w:t>
            </w:r>
          </w:p>
        </w:tc>
      </w:tr>
      <w:tr w:rsidR="00ED5E28" w:rsidRPr="00ED5E28" w14:paraId="11D0608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656C616" w14:textId="77777777" w:rsidR="00ED5E28" w:rsidRPr="00ED5E28" w:rsidRDefault="00ED5E28" w:rsidP="00ED5E28">
            <w:r w:rsidRPr="00ED5E28">
              <w:t>Dynamic Market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9F9DE42" w14:textId="77777777" w:rsidR="00ED5E28" w:rsidRPr="00ED5E28" w:rsidRDefault="00ED5E28" w:rsidP="00ED5E28">
            <w:r w:rsidRPr="00ED5E28">
              <w:t>A list of Suppliers who have met the published conditions of membership and are eligible to submit a Tender against a competition let under the market. These markets can be set up to purchase any requirements that the Authority may wish to purchase and require the use of the competitive flexible procedure to award the Contract.</w:t>
            </w:r>
            <w:r w:rsidRPr="00ED5E28">
              <w:rPr>
                <w:rFonts w:ascii="Arial" w:hAnsi="Arial" w:cs="Arial"/>
              </w:rPr>
              <w:t> </w:t>
            </w:r>
            <w:r w:rsidRPr="00ED5E28">
              <w:t> </w:t>
            </w:r>
          </w:p>
        </w:tc>
      </w:tr>
      <w:tr w:rsidR="00ED5E28" w:rsidRPr="00ED5E28" w14:paraId="7D5FADC2"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213A04B" w14:textId="77777777" w:rsidR="00ED5E28" w:rsidRPr="00ED5E28" w:rsidRDefault="00ED5E28" w:rsidP="00ED5E28">
            <w:r w:rsidRPr="00ED5E28">
              <w:t>E-Procurement System</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5F905C8" w14:textId="77777777" w:rsidR="00ED5E28" w:rsidRPr="00ED5E28" w:rsidRDefault="00ED5E28" w:rsidP="00ED5E28">
            <w:r w:rsidRPr="00ED5E28">
              <w:t>A system for the end-to-end tendering process. Both suppliers and buyers submit and respond to tenders electronically. </w:t>
            </w:r>
          </w:p>
        </w:tc>
      </w:tr>
      <w:tr w:rsidR="00ED5E28" w:rsidRPr="00ED5E28" w14:paraId="38C14D09"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A99F618" w14:textId="77777777" w:rsidR="00ED5E28" w:rsidRPr="00ED5E28" w:rsidRDefault="00ED5E28" w:rsidP="00ED5E28">
            <w:r w:rsidRPr="00ED5E28">
              <w:t>Equalities Act 2010</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F82D20E" w14:textId="77777777" w:rsidR="00ED5E28" w:rsidRPr="00ED5E28" w:rsidRDefault="00ED5E28" w:rsidP="00ED5E28">
            <w:r w:rsidRPr="00ED5E28">
              <w:t>Protects individuals from various forms of discrimination and harassment relating to disability, age, gender, religion/belief, and sexuality.</w:t>
            </w:r>
            <w:r w:rsidRPr="00ED5E28">
              <w:rPr>
                <w:rFonts w:ascii="Arial" w:hAnsi="Arial" w:cs="Arial"/>
              </w:rPr>
              <w:t> </w:t>
            </w:r>
            <w:r w:rsidRPr="00ED5E28">
              <w:t> </w:t>
            </w:r>
          </w:p>
        </w:tc>
      </w:tr>
      <w:tr w:rsidR="00ED5E28" w:rsidRPr="00ED5E28" w14:paraId="01FAEFD4"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AB525F6" w14:textId="77777777" w:rsidR="00ED5E28" w:rsidRPr="00ED5E28" w:rsidRDefault="00ED5E28" w:rsidP="00ED5E28">
            <w:r w:rsidRPr="00ED5E28">
              <w:t>Estimated Contract Value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27E4A73" w14:textId="77777777" w:rsidR="00ED5E28" w:rsidRPr="00ED5E28" w:rsidRDefault="00ED5E28" w:rsidP="00ED5E28">
            <w:r w:rsidRPr="00ED5E28">
              <w:t>The value being estimated by the Authority for the entire possible scope (including any optional extras) and duration (including any possible extensions) of the potential contract requirements including all other options, premiums, fees etc as may become due under the contract.</w:t>
            </w:r>
            <w:r w:rsidRPr="00ED5E28">
              <w:rPr>
                <w:rFonts w:ascii="Arial" w:hAnsi="Arial" w:cs="Arial"/>
              </w:rPr>
              <w:t> </w:t>
            </w:r>
            <w:r w:rsidRPr="00ED5E28">
              <w:t> </w:t>
            </w:r>
          </w:p>
        </w:tc>
      </w:tr>
      <w:tr w:rsidR="00ED5E28" w:rsidRPr="00ED5E28" w14:paraId="47B1B4D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2CF4786" w14:textId="77777777" w:rsidR="00ED5E28" w:rsidRPr="00ED5E28" w:rsidRDefault="00ED5E28" w:rsidP="00ED5E28">
            <w:r w:rsidRPr="00ED5E28">
              <w:t>Excludable Supplier</w:t>
            </w:r>
            <w:r w:rsidRPr="00ED5E28">
              <w:rPr>
                <w:rFonts w:ascii="Arial" w:hAnsi="Arial" w:cs="Arial"/>
              </w:rPr>
              <w:t> </w:t>
            </w:r>
            <w:r w:rsidRPr="00ED5E28">
              <w:t> </w:t>
            </w:r>
          </w:p>
          <w:p w14:paraId="34F7994E" w14:textId="77777777" w:rsidR="00ED5E28" w:rsidRPr="00ED5E28" w:rsidRDefault="00ED5E28" w:rsidP="00ED5E28">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9C1039B" w14:textId="77777777" w:rsidR="00ED5E28" w:rsidRPr="00ED5E28" w:rsidRDefault="00ED5E28" w:rsidP="00ED5E28">
            <w:r w:rsidRPr="00ED5E28">
              <w:t>An Excludable Supplier is a Supplier to whom a discretionary exclusion ground applies, and such exclusion ground circumstances are continuing/ likely to occur again; or they are on the debarment list by virtue of a discretionary exclusion ground.</w:t>
            </w:r>
            <w:r w:rsidRPr="00ED5E28">
              <w:rPr>
                <w:rFonts w:ascii="Arial" w:hAnsi="Arial" w:cs="Arial"/>
              </w:rPr>
              <w:t>  </w:t>
            </w:r>
            <w:r w:rsidRPr="00ED5E28">
              <w:t> </w:t>
            </w:r>
          </w:p>
          <w:p w14:paraId="1CB4029D" w14:textId="77777777" w:rsidR="00ED5E28" w:rsidRPr="00ED5E28" w:rsidRDefault="00ED5E28" w:rsidP="00ED5E28">
            <w:r w:rsidRPr="00ED5E28">
              <w:t>Tenders from excludable Suppliers may be disregarded in any Competitive Tendering Process (s.26(2)) and Contracting Authorities may exclude an Excludable Supplier from participating in a Competitive Flexible Procedure (s.27(1)(b)).</w:t>
            </w:r>
            <w:r w:rsidRPr="00ED5E28">
              <w:rPr>
                <w:rFonts w:ascii="Arial" w:hAnsi="Arial" w:cs="Arial"/>
              </w:rPr>
              <w:t> </w:t>
            </w:r>
            <w:r w:rsidRPr="00ED5E28">
              <w:t> </w:t>
            </w:r>
          </w:p>
          <w:p w14:paraId="40D50871" w14:textId="77777777" w:rsidR="00ED5E28" w:rsidRPr="00ED5E28" w:rsidRDefault="00ED5E28" w:rsidP="00ED5E28">
            <w:r w:rsidRPr="00ED5E28">
              <w:lastRenderedPageBreak/>
              <w:t>The Authority may also terminate a Contract with a Supplier who becomes an excluded Supplier after the award of the Contract or where one of their sub-Contractors is an excludable Supplier and they fail to replace them when instructed.</w:t>
            </w:r>
            <w:r w:rsidRPr="00ED5E28">
              <w:rPr>
                <w:rFonts w:ascii="Arial" w:hAnsi="Arial" w:cs="Arial"/>
              </w:rPr>
              <w:t> </w:t>
            </w:r>
            <w:r w:rsidRPr="00ED5E28">
              <w:t> </w:t>
            </w:r>
          </w:p>
        </w:tc>
      </w:tr>
      <w:tr w:rsidR="00ED5E28" w:rsidRPr="00ED5E28" w14:paraId="39906ACD"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77445A6" w14:textId="77777777" w:rsidR="00ED5E28" w:rsidRPr="00ED5E28" w:rsidRDefault="00ED5E28" w:rsidP="00ED5E28">
            <w:r w:rsidRPr="00ED5E28">
              <w:lastRenderedPageBreak/>
              <w:t>Excluded Supplier</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2A0B019" w14:textId="77777777" w:rsidR="00ED5E28" w:rsidRPr="00ED5E28" w:rsidRDefault="00ED5E28" w:rsidP="00ED5E28">
            <w:r w:rsidRPr="00ED5E28">
              <w:t>An Excluded Supplier is a supplier to which a mandatory exclusion ground applies and the circumstances giving rise to the application of that exclusion ground are likely to occur again; or the supplier is on the debarment list by virtue of a mandatory exclusion ground. </w:t>
            </w:r>
          </w:p>
        </w:tc>
      </w:tr>
      <w:tr w:rsidR="00ED5E28" w:rsidRPr="00ED5E28" w14:paraId="1DA656C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45E0B64" w14:textId="77777777" w:rsidR="00ED5E28" w:rsidRPr="00ED5E28" w:rsidRDefault="00ED5E28" w:rsidP="00ED5E28">
            <w:r w:rsidRPr="00ED5E28">
              <w:t>Exempt Contracts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6E80220" w14:textId="77777777" w:rsidR="00ED5E28" w:rsidRPr="00ED5E28" w:rsidRDefault="00ED5E28" w:rsidP="00ED5E28">
            <w:r w:rsidRPr="00ED5E28">
              <w:t xml:space="preserve">The kind of Contract listed in </w:t>
            </w:r>
            <w:hyperlink r:id="rId12" w:tgtFrame="_blank" w:history="1">
              <w:r w:rsidRPr="00ED5E28">
                <w:rPr>
                  <w:rStyle w:val="Hyperlink"/>
                </w:rPr>
                <w:t>Schedule 2</w:t>
              </w:r>
            </w:hyperlink>
            <w:r w:rsidRPr="00ED5E28">
              <w:t xml:space="preserve"> of the Procurement Act 2023. </w:t>
            </w:r>
          </w:p>
        </w:tc>
      </w:tr>
      <w:tr w:rsidR="00ED5E28" w:rsidRPr="00ED5E28" w14:paraId="2982B96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15BB8E8" w14:textId="77777777" w:rsidR="00ED5E28" w:rsidRPr="00ED5E28" w:rsidRDefault="00ED5E28" w:rsidP="00ED5E28">
            <w:r w:rsidRPr="00ED5E28">
              <w:t>Financial Regulations  </w:t>
            </w:r>
          </w:p>
        </w:tc>
        <w:tc>
          <w:tcPr>
            <w:tcW w:w="7365" w:type="dxa"/>
            <w:tcBorders>
              <w:top w:val="nil"/>
              <w:left w:val="nil"/>
              <w:bottom w:val="single" w:sz="8" w:space="0" w:color="auto"/>
              <w:right w:val="single" w:sz="8" w:space="0" w:color="auto"/>
            </w:tcBorders>
            <w:vAlign w:val="center"/>
            <w:hideMark/>
          </w:tcPr>
          <w:p w14:paraId="06D160FF" w14:textId="77777777" w:rsidR="00ED5E28" w:rsidRPr="00ED5E28" w:rsidRDefault="00ED5E28" w:rsidP="00ED5E28">
            <w:r w:rsidRPr="00ED5E28">
              <w:t>The Authority’s rules relating to financial procedures.   </w:t>
            </w:r>
          </w:p>
        </w:tc>
      </w:tr>
      <w:tr w:rsidR="00ED5E28" w:rsidRPr="00ED5E28" w14:paraId="660EF8F3"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70F890D" w14:textId="77777777" w:rsidR="00ED5E28" w:rsidRPr="00ED5E28" w:rsidRDefault="00ED5E28" w:rsidP="00ED5E28">
            <w:r w:rsidRPr="00ED5E28">
              <w:t>Framework</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A096906" w14:textId="77777777" w:rsidR="00ED5E28" w:rsidRPr="00ED5E28" w:rsidRDefault="00ED5E28" w:rsidP="00ED5E28">
            <w:r w:rsidRPr="00ED5E28">
              <w:t>Frameworks help public sector buyers to procure goods and services from a list of pre-approved suppliers, with agreed terms and conditions and legal protections. </w:t>
            </w:r>
          </w:p>
        </w:tc>
      </w:tr>
      <w:tr w:rsidR="00ED5E28" w:rsidRPr="00ED5E28" w14:paraId="63CDF2A2"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7716016" w14:textId="77777777" w:rsidR="00ED5E28" w:rsidRPr="00ED5E28" w:rsidRDefault="00ED5E28" w:rsidP="00ED5E28">
            <w:r w:rsidRPr="00ED5E28">
              <w:t>Freedom of Information Act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38015B8" w14:textId="77777777" w:rsidR="00ED5E28" w:rsidRPr="00ED5E28" w:rsidRDefault="00ED5E28" w:rsidP="00ED5E28">
            <w:r w:rsidRPr="00ED5E28">
              <w:t>Freedom of Information Act 2000 is an act defining the ways in which the public may obtain access to government-held information.</w:t>
            </w:r>
            <w:r w:rsidRPr="00ED5E28">
              <w:rPr>
                <w:rFonts w:ascii="Arial" w:hAnsi="Arial" w:cs="Arial"/>
              </w:rPr>
              <w:t> </w:t>
            </w:r>
            <w:r w:rsidRPr="00ED5E28">
              <w:t> </w:t>
            </w:r>
          </w:p>
        </w:tc>
      </w:tr>
      <w:tr w:rsidR="00ED5E28" w:rsidRPr="00ED5E28" w14:paraId="18841ED2"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EE212EE" w14:textId="77777777" w:rsidR="00ED5E28" w:rsidRPr="00ED5E28" w:rsidRDefault="00ED5E28" w:rsidP="00ED5E28">
            <w:r w:rsidRPr="00ED5E28">
              <w:t>Gateway Process. </w:t>
            </w:r>
          </w:p>
        </w:tc>
        <w:tc>
          <w:tcPr>
            <w:tcW w:w="7365" w:type="dxa"/>
            <w:tcBorders>
              <w:top w:val="nil"/>
              <w:left w:val="nil"/>
              <w:bottom w:val="single" w:sz="8" w:space="0" w:color="auto"/>
              <w:right w:val="single" w:sz="8" w:space="0" w:color="auto"/>
            </w:tcBorders>
            <w:vAlign w:val="center"/>
            <w:hideMark/>
          </w:tcPr>
          <w:p w14:paraId="71FD2BBE" w14:textId="77777777" w:rsidR="00ED5E28" w:rsidRPr="00ED5E28" w:rsidRDefault="00ED5E28" w:rsidP="00ED5E28">
            <w:r w:rsidRPr="00ED5E28">
              <w:t>This is a structured review and assurance framework designed to ensure that major projects and programmes are well-managed and deliver value for money.  </w:t>
            </w:r>
          </w:p>
        </w:tc>
      </w:tr>
      <w:tr w:rsidR="00ED5E28" w:rsidRPr="00ED5E28" w14:paraId="43FF007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F9F2F70" w14:textId="77777777" w:rsidR="00ED5E28" w:rsidRPr="00ED5E28" w:rsidRDefault="00ED5E28" w:rsidP="00ED5E28">
            <w:r w:rsidRPr="00ED5E28">
              <w:t>Head of Service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8EBAAAA" w14:textId="77777777" w:rsidR="00ED5E28" w:rsidRPr="00ED5E28" w:rsidRDefault="00ED5E28" w:rsidP="00ED5E28">
            <w:r w:rsidRPr="00ED5E28">
              <w:t>An officer of the Authority employed to manage and lead a particular service area.</w:t>
            </w:r>
            <w:r w:rsidRPr="00ED5E28">
              <w:rPr>
                <w:rFonts w:ascii="Arial" w:hAnsi="Arial" w:cs="Arial"/>
              </w:rPr>
              <w:t> </w:t>
            </w:r>
            <w:r w:rsidRPr="00ED5E28">
              <w:t> </w:t>
            </w:r>
          </w:p>
        </w:tc>
      </w:tr>
      <w:tr w:rsidR="00ED5E28" w:rsidRPr="00ED5E28" w14:paraId="4A12D66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8C1C4BA" w14:textId="77777777" w:rsidR="00ED5E28" w:rsidRPr="00ED5E28" w:rsidRDefault="00ED5E28" w:rsidP="00ED5E28">
            <w:r w:rsidRPr="00ED5E28">
              <w:t>Invitation to Tender (IIT)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CA4D1D6" w14:textId="77777777" w:rsidR="00ED5E28" w:rsidRPr="00ED5E28" w:rsidRDefault="00ED5E28" w:rsidP="00ED5E28">
            <w:r w:rsidRPr="00ED5E28">
              <w:t>The document that invites Suppliers to submit a Request to Participate or a Tender in response to a Tender Notice. It must include clear instructions of what is required, a description of the procurement process, the Conditions of Tendering, and the Award Criteria/ Assessment Methodology as a minimum.</w:t>
            </w:r>
            <w:r w:rsidRPr="00ED5E28">
              <w:rPr>
                <w:rFonts w:ascii="Arial" w:hAnsi="Arial" w:cs="Arial"/>
              </w:rPr>
              <w:t> </w:t>
            </w:r>
            <w:r w:rsidRPr="00ED5E28">
              <w:t> </w:t>
            </w:r>
          </w:p>
        </w:tc>
      </w:tr>
      <w:tr w:rsidR="00ED5E28" w:rsidRPr="00ED5E28" w14:paraId="20E9C8A2"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FB8418D" w14:textId="77777777" w:rsidR="00ED5E28" w:rsidRPr="00ED5E28" w:rsidRDefault="00ED5E28" w:rsidP="00ED5E28">
            <w:r w:rsidRPr="00ED5E28">
              <w:t>Key Performance Indicator (KPIs)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AB79C08" w14:textId="77777777" w:rsidR="00ED5E28" w:rsidRPr="00ED5E28" w:rsidRDefault="00ED5E28" w:rsidP="00ED5E28">
            <w:r w:rsidRPr="00ED5E28">
              <w:t>A factor or measure against which a Supplier’s performance of a Contract can be assessed during the life cycle of the Contract.</w:t>
            </w:r>
            <w:r w:rsidRPr="00ED5E28">
              <w:rPr>
                <w:rFonts w:ascii="Arial" w:hAnsi="Arial" w:cs="Arial"/>
              </w:rPr>
              <w:t> </w:t>
            </w:r>
            <w:r w:rsidRPr="00ED5E28">
              <w:t> </w:t>
            </w:r>
          </w:p>
        </w:tc>
      </w:tr>
      <w:tr w:rsidR="00ED5E28" w:rsidRPr="00ED5E28" w14:paraId="07B27A52"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3C2ADA4" w14:textId="77777777" w:rsidR="00ED5E28" w:rsidRPr="00ED5E28" w:rsidRDefault="00ED5E28" w:rsidP="00ED5E28">
            <w:r w:rsidRPr="00ED5E28">
              <w:t>Light Touch Regime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E8C4EA9" w14:textId="77777777" w:rsidR="00ED5E28" w:rsidRPr="00ED5E28" w:rsidRDefault="00ED5E28" w:rsidP="00ED5E28">
            <w:r w:rsidRPr="00ED5E28">
              <w:t>These are Contracts/procurements which cover Health, Social Care, Community Service, legal and Education related requirements.</w:t>
            </w:r>
            <w:r w:rsidRPr="00ED5E28">
              <w:rPr>
                <w:rFonts w:ascii="Arial" w:hAnsi="Arial" w:cs="Arial"/>
              </w:rPr>
              <w:t> </w:t>
            </w:r>
            <w:r w:rsidRPr="00ED5E28">
              <w:t> </w:t>
            </w:r>
          </w:p>
        </w:tc>
      </w:tr>
      <w:tr w:rsidR="00ED5E28" w:rsidRPr="00ED5E28" w14:paraId="652B63A4"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50B55DB" w14:textId="77777777" w:rsidR="00ED5E28" w:rsidRPr="00ED5E28" w:rsidRDefault="00ED5E28" w:rsidP="00ED5E28">
            <w:r w:rsidRPr="00ED5E28">
              <w:lastRenderedPageBreak/>
              <w:t>Lots.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EE9A9FE" w14:textId="77777777" w:rsidR="00ED5E28" w:rsidRPr="00ED5E28" w:rsidRDefault="00ED5E28" w:rsidP="00ED5E28">
            <w:r w:rsidRPr="00ED5E28">
              <w:t>Splitting the goods, services or works to be supplied into more than one Contract to make them accessible to SMEs with the aim of promoting effective competition.  </w:t>
            </w:r>
          </w:p>
        </w:tc>
      </w:tr>
      <w:tr w:rsidR="00ED5E28" w:rsidRPr="00ED5E28" w14:paraId="2CAFB09E"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C9A79D9" w14:textId="77777777" w:rsidR="00ED5E28" w:rsidRPr="00ED5E28" w:rsidRDefault="00ED5E28" w:rsidP="00ED5E28">
            <w:r w:rsidRPr="00ED5E28">
              <w:t>Mandatory Exclusion Grounds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D41498E" w14:textId="77777777" w:rsidR="00ED5E28" w:rsidRPr="00ED5E28" w:rsidRDefault="00ED5E28" w:rsidP="00ED5E28">
            <w:r w:rsidRPr="00ED5E28">
              <w:t>Schedule 6 of the Procurement Act 2023 sets out the grounds for mandatory exclusions.</w:t>
            </w:r>
            <w:r w:rsidRPr="00ED5E28">
              <w:rPr>
                <w:rFonts w:ascii="Arial" w:hAnsi="Arial" w:cs="Arial"/>
              </w:rPr>
              <w:t> </w:t>
            </w:r>
            <w:r w:rsidRPr="00ED5E28">
              <w:t> </w:t>
            </w:r>
          </w:p>
        </w:tc>
      </w:tr>
      <w:tr w:rsidR="00ED5E28" w:rsidRPr="00ED5E28" w14:paraId="676F87D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B1763AE" w14:textId="77777777" w:rsidR="00ED5E28" w:rsidRPr="00ED5E28" w:rsidRDefault="00ED5E28" w:rsidP="00ED5E28">
            <w:r w:rsidRPr="00ED5E28">
              <w:t>MAT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B57F295" w14:textId="77777777" w:rsidR="00ED5E28" w:rsidRPr="00ED5E28" w:rsidRDefault="00ED5E28" w:rsidP="00ED5E28">
            <w:r w:rsidRPr="00ED5E28">
              <w:t>Most Advantageous Tender –</w:t>
            </w:r>
            <w:r w:rsidRPr="00ED5E28">
              <w:rPr>
                <w:rFonts w:ascii="Arial" w:hAnsi="Arial" w:cs="Arial"/>
              </w:rPr>
              <w:t>  </w:t>
            </w:r>
            <w:r w:rsidRPr="00ED5E28">
              <w:t> </w:t>
            </w:r>
          </w:p>
          <w:p w14:paraId="78023F61" w14:textId="77777777" w:rsidR="00ED5E28" w:rsidRPr="00ED5E28" w:rsidRDefault="00ED5E28" w:rsidP="00ED5E28">
            <w:r w:rsidRPr="00ED5E28">
              <w:t>Is the Tender that the Authority considers—</w:t>
            </w:r>
            <w:r w:rsidRPr="00ED5E28">
              <w:rPr>
                <w:rFonts w:ascii="Arial" w:hAnsi="Arial" w:cs="Arial"/>
              </w:rPr>
              <w:t> </w:t>
            </w:r>
            <w:r w:rsidRPr="00ED5E28">
              <w:t> </w:t>
            </w:r>
          </w:p>
          <w:p w14:paraId="094652D2" w14:textId="77777777" w:rsidR="00ED5E28" w:rsidRPr="00ED5E28" w:rsidRDefault="00ED5E28" w:rsidP="00ED5E28">
            <w:pPr>
              <w:numPr>
                <w:ilvl w:val="0"/>
                <w:numId w:val="9"/>
              </w:numPr>
            </w:pPr>
            <w:r w:rsidRPr="00ED5E28">
              <w:t>Satisfies the Authority’s requirements, and</w:t>
            </w:r>
            <w:r w:rsidRPr="00ED5E28">
              <w:rPr>
                <w:rFonts w:ascii="Arial" w:hAnsi="Arial" w:cs="Arial"/>
              </w:rPr>
              <w:t> </w:t>
            </w:r>
            <w:r w:rsidRPr="00ED5E28">
              <w:t> </w:t>
            </w:r>
          </w:p>
          <w:p w14:paraId="69E3E906" w14:textId="77777777" w:rsidR="00ED5E28" w:rsidRPr="00ED5E28" w:rsidRDefault="00ED5E28" w:rsidP="00ED5E28">
            <w:pPr>
              <w:numPr>
                <w:ilvl w:val="0"/>
                <w:numId w:val="10"/>
              </w:numPr>
            </w:pPr>
            <w:r w:rsidRPr="00ED5E28">
              <w:t>Best satisfies the Award Criteria when assessed against them</w:t>
            </w:r>
            <w:r w:rsidRPr="00ED5E28">
              <w:rPr>
                <w:rFonts w:ascii="Arial" w:hAnsi="Arial" w:cs="Arial"/>
              </w:rPr>
              <w:t> </w:t>
            </w:r>
            <w:r w:rsidRPr="00ED5E28">
              <w:t> </w:t>
            </w:r>
          </w:p>
        </w:tc>
      </w:tr>
      <w:tr w:rsidR="00ED5E28" w:rsidRPr="00ED5E28" w14:paraId="5F02CAF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CBBE65A" w14:textId="77777777" w:rsidR="00ED5E28" w:rsidRPr="00ED5E28" w:rsidRDefault="00ED5E28" w:rsidP="00ED5E28">
            <w:r w:rsidRPr="00ED5E28">
              <w:t>Member</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F80E5F6" w14:textId="77777777" w:rsidR="00ED5E28" w:rsidRPr="00ED5E28" w:rsidRDefault="00ED5E28" w:rsidP="00ED5E28">
            <w:r w:rsidRPr="00ED5E28">
              <w:t>An elected Member to the Fire Authority </w:t>
            </w:r>
          </w:p>
        </w:tc>
      </w:tr>
      <w:tr w:rsidR="00ED5E28" w:rsidRPr="00ED5E28" w14:paraId="5011FD8E"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931FD5E" w14:textId="77777777" w:rsidR="00ED5E28" w:rsidRPr="00ED5E28" w:rsidRDefault="00ED5E28" w:rsidP="00ED5E28">
            <w:r w:rsidRPr="00ED5E28">
              <w:t xml:space="preserve">Monitoring Officer </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DD1AE21" w14:textId="77777777" w:rsidR="00ED5E28" w:rsidRPr="00ED5E28" w:rsidRDefault="00ED5E28" w:rsidP="00ED5E28">
            <w:r w:rsidRPr="00ED5E28">
              <w:rPr>
                <w:rFonts w:ascii="Arial" w:hAnsi="Arial" w:cs="Arial"/>
              </w:rPr>
              <w:t> </w:t>
            </w:r>
            <w:r w:rsidRPr="00ED5E28">
              <w:t>The statutory officer responsible for the legal governance of the Authority. </w:t>
            </w:r>
          </w:p>
        </w:tc>
      </w:tr>
      <w:tr w:rsidR="00ED5E28" w:rsidRPr="00ED5E28" w14:paraId="2DB3092F"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5D391B0F" w14:textId="77777777" w:rsidR="00ED5E28" w:rsidRPr="00ED5E28" w:rsidRDefault="00ED5E28" w:rsidP="00ED5E28">
            <w:r w:rsidRPr="00ED5E28">
              <w:t>National Policy Procurement Statement (NPPS) </w:t>
            </w:r>
          </w:p>
        </w:tc>
        <w:tc>
          <w:tcPr>
            <w:tcW w:w="7365" w:type="dxa"/>
            <w:tcBorders>
              <w:top w:val="nil"/>
              <w:left w:val="nil"/>
              <w:bottom w:val="single" w:sz="8" w:space="0" w:color="auto"/>
              <w:right w:val="single" w:sz="8" w:space="0" w:color="auto"/>
            </w:tcBorders>
            <w:vAlign w:val="center"/>
            <w:hideMark/>
          </w:tcPr>
          <w:p w14:paraId="72CFEC8E" w14:textId="77777777" w:rsidR="00ED5E28" w:rsidRPr="00ED5E28" w:rsidRDefault="00ED5E28" w:rsidP="00ED5E28">
            <w:r w:rsidRPr="00ED5E28">
              <w:t>National procurement policy statement outlining the strategic priorities for public procurement.  </w:t>
            </w:r>
          </w:p>
        </w:tc>
      </w:tr>
      <w:tr w:rsidR="00ED5E28" w:rsidRPr="00ED5E28" w14:paraId="08DD170A"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87424D1" w14:textId="77777777" w:rsidR="00ED5E28" w:rsidRPr="00ED5E28" w:rsidRDefault="00ED5E28" w:rsidP="00ED5E28">
            <w:r w:rsidRPr="00ED5E28">
              <w:t>Negotiation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AB5507A" w14:textId="77777777" w:rsidR="00ED5E28" w:rsidRPr="00ED5E28" w:rsidRDefault="00ED5E28" w:rsidP="00ED5E28">
            <w:r w:rsidRPr="00ED5E28">
              <w:t>A discussion between the Authority and a Supplier with a view to improving the content of Tenders.</w:t>
            </w:r>
            <w:r w:rsidRPr="00ED5E28">
              <w:rPr>
                <w:rFonts w:ascii="Arial" w:hAnsi="Arial" w:cs="Arial"/>
              </w:rPr>
              <w:t> </w:t>
            </w:r>
            <w:r w:rsidRPr="00ED5E28">
              <w:t> </w:t>
            </w:r>
          </w:p>
        </w:tc>
      </w:tr>
      <w:tr w:rsidR="00ED5E28" w:rsidRPr="00ED5E28" w14:paraId="2E48359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4C98F62" w14:textId="77777777" w:rsidR="00ED5E28" w:rsidRPr="00ED5E28" w:rsidRDefault="00ED5E28" w:rsidP="00ED5E28">
            <w:r w:rsidRPr="00ED5E28">
              <w:t>Open Framework</w:t>
            </w:r>
            <w:r w:rsidRPr="00ED5E28">
              <w:rPr>
                <w:rFonts w:ascii="Arial" w:hAnsi="Arial" w:cs="Arial"/>
              </w:rPr>
              <w:t> </w:t>
            </w:r>
            <w:r w:rsidRPr="00ED5E28">
              <w:t> </w:t>
            </w:r>
          </w:p>
          <w:p w14:paraId="638E77A5" w14:textId="77777777" w:rsidR="00ED5E28" w:rsidRPr="00ED5E28" w:rsidRDefault="00ED5E28" w:rsidP="00ED5E28">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B90D4FF" w14:textId="77777777" w:rsidR="00ED5E28" w:rsidRPr="00ED5E28" w:rsidRDefault="00ED5E28" w:rsidP="00ED5E28">
            <w:r w:rsidRPr="00ED5E28">
              <w:t>A scheme of Frameworks where the initial Framework is open for three years or less, and the subsequent Frameworks cannot last for more than five years before it must be re-opened. The maximum overall term being eight years.</w:t>
            </w:r>
            <w:r w:rsidRPr="00ED5E28">
              <w:rPr>
                <w:rFonts w:ascii="Arial" w:hAnsi="Arial" w:cs="Arial"/>
              </w:rPr>
              <w:t> </w:t>
            </w:r>
            <w:r w:rsidRPr="00ED5E28">
              <w:t> </w:t>
            </w:r>
          </w:p>
        </w:tc>
      </w:tr>
      <w:tr w:rsidR="00ED5E28" w:rsidRPr="00ED5E28" w14:paraId="462BD57F"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33CE4E8" w14:textId="77777777" w:rsidR="00ED5E28" w:rsidRPr="00ED5E28" w:rsidRDefault="00ED5E28" w:rsidP="00ED5E28">
            <w:r w:rsidRPr="00ED5E28">
              <w:t>Open Procedure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2266634" w14:textId="77777777" w:rsidR="00ED5E28" w:rsidRPr="00ED5E28" w:rsidRDefault="00ED5E28" w:rsidP="00ED5E28">
            <w:r w:rsidRPr="00ED5E28">
              <w:t>This is a single stage procedure where any interested Supplier can submit a Tender; and a Supplier’s suitability, capacity and capability and their Tender response are all evaluated together.</w:t>
            </w:r>
            <w:r w:rsidRPr="00ED5E28">
              <w:rPr>
                <w:rFonts w:ascii="Arial" w:hAnsi="Arial" w:cs="Arial"/>
              </w:rPr>
              <w:t> </w:t>
            </w:r>
            <w:r w:rsidRPr="00ED5E28">
              <w:t> </w:t>
            </w:r>
          </w:p>
        </w:tc>
      </w:tr>
      <w:tr w:rsidR="00ED5E28" w:rsidRPr="00ED5E28" w14:paraId="5562993A"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AAA45AD" w14:textId="77777777" w:rsidR="00ED5E28" w:rsidRPr="00ED5E28" w:rsidRDefault="00ED5E28" w:rsidP="00ED5E28">
            <w:r w:rsidRPr="00ED5E28">
              <w:t>Performance Bond</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13FBDD7" w14:textId="77777777" w:rsidR="00ED5E28" w:rsidRPr="00ED5E28" w:rsidRDefault="00ED5E28" w:rsidP="00ED5E28">
            <w:r w:rsidRPr="00ED5E28">
              <w:t>A performance bond is issued to the Authority as a guarantee against the failure of the Supplier to meet the obligations of the Contract. A performance bond is usually issued by a bank or an insurance company.</w:t>
            </w:r>
            <w:r w:rsidRPr="00ED5E28">
              <w:rPr>
                <w:rFonts w:ascii="Arial" w:hAnsi="Arial" w:cs="Arial"/>
              </w:rPr>
              <w:t> </w:t>
            </w:r>
            <w:r w:rsidRPr="00ED5E28">
              <w:t> </w:t>
            </w:r>
          </w:p>
        </w:tc>
      </w:tr>
      <w:tr w:rsidR="00ED5E28" w:rsidRPr="00ED5E28" w14:paraId="4478F715"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29D21C8" w14:textId="77777777" w:rsidR="00ED5E28" w:rsidRPr="00ED5E28" w:rsidRDefault="00ED5E28" w:rsidP="00ED5E28">
            <w:r w:rsidRPr="00ED5E28">
              <w:t>Pipeline Notice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125DC16" w14:textId="77777777" w:rsidR="00ED5E28" w:rsidRPr="00ED5E28" w:rsidRDefault="00ED5E28" w:rsidP="00ED5E28">
            <w:r w:rsidRPr="00ED5E28">
              <w:t xml:space="preserve">The annual notice to be published by Contracting Authorities to inform the market of the Contracts to be procured/awarded in the coming </w:t>
            </w:r>
            <w:r w:rsidRPr="00ED5E28">
              <w:lastRenderedPageBreak/>
              <w:t>reporting period. It is only relevant for Contracting Authorities that will pay more than £100 million under relevant contracts in the coming financial year. </w:t>
            </w:r>
          </w:p>
        </w:tc>
      </w:tr>
      <w:tr w:rsidR="00ED5E28" w:rsidRPr="00ED5E28" w14:paraId="579C245F"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FABB838" w14:textId="77777777" w:rsidR="00ED5E28" w:rsidRPr="00ED5E28" w:rsidRDefault="00ED5E28" w:rsidP="00ED5E28">
            <w:r w:rsidRPr="00ED5E28">
              <w:lastRenderedPageBreak/>
              <w:t>Preliminary Market Engagement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9C72326" w14:textId="77777777" w:rsidR="00ED5E28" w:rsidRPr="00ED5E28" w:rsidRDefault="00ED5E28" w:rsidP="00ED5E28">
            <w:r w:rsidRPr="00ED5E28">
              <w:t>This can be used for the purpose of developing the Authority’s requirements and approach to the planned procurement.</w:t>
            </w:r>
            <w:r w:rsidRPr="00ED5E28">
              <w:rPr>
                <w:rFonts w:ascii="Arial" w:hAnsi="Arial" w:cs="Arial"/>
              </w:rPr>
              <w:t> </w:t>
            </w:r>
            <w:r w:rsidRPr="00ED5E28">
              <w:t> </w:t>
            </w:r>
          </w:p>
        </w:tc>
      </w:tr>
      <w:tr w:rsidR="00ED5E28" w:rsidRPr="00ED5E28" w14:paraId="15DBDEE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C2C39DD" w14:textId="77777777" w:rsidR="00ED5E28" w:rsidRPr="00ED5E28" w:rsidRDefault="00ED5E28" w:rsidP="00ED5E28">
            <w:r w:rsidRPr="00ED5E28">
              <w:t>Presentation, Demonstration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7B49598" w14:textId="77777777" w:rsidR="00ED5E28" w:rsidRPr="00ED5E28" w:rsidRDefault="00ED5E28" w:rsidP="00ED5E28">
            <w:r w:rsidRPr="00ED5E28">
              <w:t>A meeting with a Supplier where they present their proposed delivery methodology or demonstrate a specific element/product within their proposal to aid the Authority in understanding the proposed solution and how it meets the Specification.</w:t>
            </w:r>
            <w:r w:rsidRPr="00ED5E28">
              <w:rPr>
                <w:rFonts w:ascii="Arial" w:hAnsi="Arial" w:cs="Arial"/>
              </w:rPr>
              <w:t>  </w:t>
            </w:r>
            <w:r w:rsidRPr="00ED5E28">
              <w:t> </w:t>
            </w:r>
          </w:p>
        </w:tc>
      </w:tr>
      <w:tr w:rsidR="00ED5E28" w:rsidRPr="00ED5E28" w14:paraId="0F355BF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F033955" w14:textId="77777777" w:rsidR="00ED5E28" w:rsidRPr="00ED5E28" w:rsidRDefault="00ED5E28" w:rsidP="00ED5E28">
            <w:r w:rsidRPr="00ED5E28">
              <w:t>Procurement Card</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9BB3D8F" w14:textId="77777777" w:rsidR="00ED5E28" w:rsidRPr="00ED5E28" w:rsidRDefault="00ED5E28" w:rsidP="00ED5E28">
            <w:r w:rsidRPr="00ED5E28">
              <w:t>A corporate credit card used for low value purchases.</w:t>
            </w:r>
            <w:r w:rsidRPr="00ED5E28">
              <w:rPr>
                <w:rFonts w:ascii="Arial" w:hAnsi="Arial" w:cs="Arial"/>
              </w:rPr>
              <w:t> </w:t>
            </w:r>
            <w:r w:rsidRPr="00ED5E28">
              <w:t> </w:t>
            </w:r>
          </w:p>
        </w:tc>
      </w:tr>
      <w:tr w:rsidR="00ED5E28" w:rsidRPr="00ED5E28" w14:paraId="04E91007"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D15AB03" w14:textId="77777777" w:rsidR="00ED5E28" w:rsidRPr="00ED5E28" w:rsidRDefault="00ED5E28" w:rsidP="00ED5E28">
            <w:r w:rsidRPr="00ED5E28">
              <w:t>Procurement Legislation Guidance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134E3FE0" w14:textId="77777777" w:rsidR="00ED5E28" w:rsidRPr="00ED5E28" w:rsidRDefault="00ED5E28" w:rsidP="00ED5E28">
            <w:r w:rsidRPr="00ED5E28">
              <w:t>The guidance issued by the Cabinet Office that is to be considered in the development and delivery of the procurement process.</w:t>
            </w:r>
            <w:r w:rsidRPr="00ED5E28">
              <w:rPr>
                <w:rFonts w:ascii="Arial" w:hAnsi="Arial" w:cs="Arial"/>
              </w:rPr>
              <w:t> </w:t>
            </w:r>
            <w:r w:rsidRPr="00ED5E28">
              <w:t> </w:t>
            </w:r>
          </w:p>
          <w:p w14:paraId="3BF5272D" w14:textId="77777777" w:rsidR="00ED5E28" w:rsidRPr="00ED5E28" w:rsidRDefault="00ED5E28" w:rsidP="00ED5E28">
            <w:hyperlink r:id="rId13" w:tgtFrame="_blank" w:history="1">
              <w:r w:rsidRPr="00ED5E28">
                <w:rPr>
                  <w:rStyle w:val="Hyperlink"/>
                </w:rPr>
                <w:t>Procurement Act 2023 - Guidance documents - GOV.UK (www.gov.uk)</w:t>
              </w:r>
            </w:hyperlink>
            <w:r w:rsidRPr="00ED5E28">
              <w:rPr>
                <w:rFonts w:ascii="Arial" w:hAnsi="Arial" w:cs="Arial"/>
              </w:rPr>
              <w:t> </w:t>
            </w:r>
            <w:r w:rsidRPr="00ED5E28">
              <w:t> </w:t>
            </w:r>
          </w:p>
          <w:p w14:paraId="46ECC908" w14:textId="77777777" w:rsidR="00ED5E28" w:rsidRPr="00ED5E28" w:rsidRDefault="00ED5E28" w:rsidP="00ED5E28">
            <w:hyperlink r:id="rId14" w:tgtFrame="_blank" w:history="1">
              <w:r w:rsidRPr="00ED5E28">
                <w:rPr>
                  <w:rStyle w:val="Hyperlink"/>
                </w:rPr>
                <w:t>Procurement policy notes - GOV.UK (www.gov.uk)</w:t>
              </w:r>
            </w:hyperlink>
            <w:r w:rsidRPr="00ED5E28">
              <w:rPr>
                <w:rFonts w:ascii="Arial" w:hAnsi="Arial" w:cs="Arial"/>
              </w:rPr>
              <w:t> </w:t>
            </w:r>
            <w:r w:rsidRPr="00ED5E28">
              <w:t> </w:t>
            </w:r>
          </w:p>
        </w:tc>
      </w:tr>
      <w:tr w:rsidR="00ED5E28" w:rsidRPr="00ED5E28" w14:paraId="4D2997D1"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C188108" w14:textId="77777777" w:rsidR="00ED5E28" w:rsidRPr="00ED5E28" w:rsidRDefault="00ED5E28" w:rsidP="00ED5E28">
            <w:r w:rsidRPr="00ED5E28">
              <w:t>Procurement Thresholds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31AFB5A" w14:textId="77777777" w:rsidR="00ED5E28" w:rsidRPr="00ED5E28" w:rsidRDefault="00ED5E28" w:rsidP="00ED5E28">
            <w:r w:rsidRPr="00ED5E28">
              <w:t xml:space="preserve">The values that determine the available routes to market. </w:t>
            </w:r>
            <w:r w:rsidRPr="00ED5E28">
              <w:rPr>
                <w:rFonts w:ascii="Arial" w:hAnsi="Arial" w:cs="Arial"/>
              </w:rPr>
              <w:t>  </w:t>
            </w:r>
            <w:r w:rsidRPr="00ED5E28">
              <w:t> </w:t>
            </w:r>
          </w:p>
        </w:tc>
      </w:tr>
      <w:tr w:rsidR="00ED5E28" w:rsidRPr="00ED5E28" w14:paraId="68F750C0"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FB20AE3" w14:textId="77777777" w:rsidR="00ED5E28" w:rsidRPr="00ED5E28" w:rsidRDefault="00ED5E28" w:rsidP="00ED5E28">
            <w:r w:rsidRPr="00ED5E28">
              <w:t>Procurement Launch Document (PLD) </w:t>
            </w:r>
          </w:p>
        </w:tc>
        <w:tc>
          <w:tcPr>
            <w:tcW w:w="7365" w:type="dxa"/>
            <w:tcBorders>
              <w:top w:val="nil"/>
              <w:left w:val="nil"/>
              <w:bottom w:val="single" w:sz="8" w:space="0" w:color="auto"/>
              <w:right w:val="single" w:sz="8" w:space="0" w:color="auto"/>
            </w:tcBorders>
            <w:vAlign w:val="center"/>
            <w:hideMark/>
          </w:tcPr>
          <w:p w14:paraId="7C5877C2" w14:textId="77777777" w:rsidR="00ED5E28" w:rsidRPr="00ED5E28" w:rsidRDefault="00ED5E28" w:rsidP="00ED5E28">
            <w:r w:rsidRPr="00ED5E28">
              <w:t>Document that outlines the key steps and requirements for initiating a procurement process. </w:t>
            </w:r>
          </w:p>
        </w:tc>
      </w:tr>
      <w:tr w:rsidR="00ED5E28" w:rsidRPr="00ED5E28" w14:paraId="4D54887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2E1B894" w14:textId="77777777" w:rsidR="00ED5E28" w:rsidRPr="00ED5E28" w:rsidRDefault="00ED5E28" w:rsidP="00ED5E28">
            <w:r w:rsidRPr="00ED5E28">
              <w:t>Public Contract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hideMark/>
          </w:tcPr>
          <w:p w14:paraId="5872F602" w14:textId="77777777" w:rsidR="00ED5E28" w:rsidRPr="00ED5E28" w:rsidRDefault="00ED5E28" w:rsidP="00ED5E28">
            <w:r w:rsidRPr="00ED5E28">
              <w:t>This is an ‘above threshold’ agreement between a Supplier and a public authority. </w:t>
            </w:r>
          </w:p>
        </w:tc>
      </w:tr>
      <w:tr w:rsidR="00ED5E28" w:rsidRPr="00ED5E28" w14:paraId="1B6864FB"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F03F9A0" w14:textId="77777777" w:rsidR="00ED5E28" w:rsidRPr="00ED5E28" w:rsidRDefault="00ED5E28" w:rsidP="00ED5E28">
            <w:r w:rsidRPr="00ED5E28">
              <w:t>Public Services (Social Value) Act 2012</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hideMark/>
          </w:tcPr>
          <w:p w14:paraId="168C320A" w14:textId="77777777" w:rsidR="00ED5E28" w:rsidRPr="00ED5E28" w:rsidRDefault="00ED5E28" w:rsidP="00ED5E28">
            <w:r w:rsidRPr="00ED5E28">
              <w:t>The Act that places a requirement to consider the economic, environmental, and social benefits of the procurement.  </w:t>
            </w:r>
          </w:p>
        </w:tc>
      </w:tr>
      <w:tr w:rsidR="00ED5E28" w:rsidRPr="00ED5E28" w14:paraId="5055D270"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EF69F45" w14:textId="77777777" w:rsidR="00ED5E28" w:rsidRPr="00ED5E28" w:rsidRDefault="00ED5E28" w:rsidP="00ED5E28">
            <w:r w:rsidRPr="00ED5E28">
              <w:t>Procurement Policy Notes </w:t>
            </w:r>
          </w:p>
        </w:tc>
        <w:tc>
          <w:tcPr>
            <w:tcW w:w="7365" w:type="dxa"/>
            <w:tcBorders>
              <w:top w:val="nil"/>
              <w:left w:val="nil"/>
              <w:bottom w:val="single" w:sz="8" w:space="0" w:color="auto"/>
              <w:right w:val="single" w:sz="8" w:space="0" w:color="auto"/>
            </w:tcBorders>
            <w:vAlign w:val="center"/>
            <w:hideMark/>
          </w:tcPr>
          <w:p w14:paraId="2648C261" w14:textId="77777777" w:rsidR="00ED5E28" w:rsidRPr="00ED5E28" w:rsidRDefault="00ED5E28" w:rsidP="00ED5E28">
            <w:r w:rsidRPr="00ED5E28">
              <w:t>Documents that provide guidance on best practices for public sector procurement. They are issued by Government bodies, such as the Cabinet Office and Crown Commercial Service in the UK, to help public sector organisations and suppliers understand and comply with procurement regulations and policies. </w:t>
            </w:r>
          </w:p>
        </w:tc>
      </w:tr>
      <w:tr w:rsidR="00ED5E28" w:rsidRPr="00ED5E28" w14:paraId="4FB9B033"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776EC4E" w14:textId="77777777" w:rsidR="00ED5E28" w:rsidRPr="00ED5E28" w:rsidRDefault="00ED5E28" w:rsidP="00ED5E28">
            <w:r w:rsidRPr="00ED5E28">
              <w:lastRenderedPageBreak/>
              <w:t>Purchase Order</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854291A" w14:textId="77777777" w:rsidR="00ED5E28" w:rsidRPr="00ED5E28" w:rsidRDefault="00ED5E28" w:rsidP="00ED5E28">
            <w:r w:rsidRPr="00ED5E28">
              <w:rPr>
                <w:rFonts w:ascii="Arial" w:hAnsi="Arial" w:cs="Arial"/>
              </w:rPr>
              <w:t> </w:t>
            </w:r>
            <w:r w:rsidRPr="00ED5E28">
              <w:t>A commercial document issued by the Authority to a seller, specifying the types, quantities and agreed prices for products or services the Authority intends to purchase. </w:t>
            </w:r>
          </w:p>
        </w:tc>
      </w:tr>
      <w:tr w:rsidR="00ED5E28" w:rsidRPr="00ED5E28" w14:paraId="2A441D0C"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1A961C8" w14:textId="77777777" w:rsidR="00ED5E28" w:rsidRPr="00ED5E28" w:rsidRDefault="00ED5E28" w:rsidP="00ED5E28">
            <w:r w:rsidRPr="00ED5E28">
              <w:t>Quotation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A18F38B" w14:textId="77777777" w:rsidR="00ED5E28" w:rsidRPr="00ED5E28" w:rsidRDefault="00ED5E28" w:rsidP="00ED5E28">
            <w:r w:rsidRPr="00ED5E28">
              <w:t>The provision of a price to deliver the Authority’s requirements (may include a method statement too), without the conduct of a formal (advertised) procurement process.</w:t>
            </w:r>
            <w:r w:rsidRPr="00ED5E28">
              <w:rPr>
                <w:rFonts w:ascii="Arial" w:hAnsi="Arial" w:cs="Arial"/>
              </w:rPr>
              <w:t> </w:t>
            </w:r>
            <w:r w:rsidRPr="00ED5E28">
              <w:t> </w:t>
            </w:r>
          </w:p>
        </w:tc>
      </w:tr>
      <w:tr w:rsidR="00ED5E28" w:rsidRPr="00ED5E28" w14:paraId="62D1C6A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21B3173" w14:textId="77777777" w:rsidR="00ED5E28" w:rsidRPr="00ED5E28" w:rsidRDefault="00ED5E28" w:rsidP="00ED5E28">
            <w:r w:rsidRPr="00ED5E28">
              <w:t>Relevant Public Sector Legislation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844C552" w14:textId="77777777" w:rsidR="00ED5E28" w:rsidRPr="00ED5E28" w:rsidRDefault="00ED5E28" w:rsidP="00ED5E28">
            <w:r w:rsidRPr="00ED5E28">
              <w:rPr>
                <w:lang w:val="en-US"/>
              </w:rPr>
              <w:t>Including but not limited to</w:t>
            </w:r>
            <w:r w:rsidRPr="00ED5E28">
              <w:rPr>
                <w:rFonts w:ascii="Arial" w:hAnsi="Arial" w:cs="Arial"/>
              </w:rPr>
              <w:t> </w:t>
            </w:r>
            <w:r w:rsidRPr="00ED5E28">
              <w:t> </w:t>
            </w:r>
          </w:p>
          <w:p w14:paraId="4152ABA3" w14:textId="77777777" w:rsidR="00ED5E28" w:rsidRPr="00ED5E28" w:rsidRDefault="00ED5E28" w:rsidP="00ED5E28">
            <w:pPr>
              <w:numPr>
                <w:ilvl w:val="0"/>
                <w:numId w:val="11"/>
              </w:numPr>
            </w:pPr>
            <w:r w:rsidRPr="00ED5E28">
              <w:rPr>
                <w:lang w:val="en-US"/>
              </w:rPr>
              <w:t>Local Government Act 1988 Part II,</w:t>
            </w:r>
            <w:r w:rsidRPr="00ED5E28">
              <w:rPr>
                <w:rFonts w:ascii="Arial" w:hAnsi="Arial" w:cs="Arial"/>
                <w:lang w:val="en-US"/>
              </w:rPr>
              <w:t> </w:t>
            </w:r>
            <w:r w:rsidRPr="00ED5E28">
              <w:rPr>
                <w:rFonts w:ascii="Arial" w:hAnsi="Arial" w:cs="Arial"/>
              </w:rPr>
              <w:t> </w:t>
            </w:r>
            <w:r w:rsidRPr="00ED5E28">
              <w:t> </w:t>
            </w:r>
          </w:p>
          <w:p w14:paraId="1B8F65AF" w14:textId="77777777" w:rsidR="00ED5E28" w:rsidRPr="00ED5E28" w:rsidRDefault="00ED5E28" w:rsidP="00ED5E28">
            <w:pPr>
              <w:numPr>
                <w:ilvl w:val="0"/>
                <w:numId w:val="12"/>
              </w:numPr>
            </w:pPr>
            <w:r w:rsidRPr="00ED5E28">
              <w:rPr>
                <w:lang w:val="en-US"/>
              </w:rPr>
              <w:t>Local government Act 1999,</w:t>
            </w:r>
            <w:r w:rsidRPr="00ED5E28">
              <w:rPr>
                <w:rFonts w:ascii="Arial" w:hAnsi="Arial" w:cs="Arial"/>
                <w:lang w:val="en-US"/>
              </w:rPr>
              <w:t> </w:t>
            </w:r>
            <w:r w:rsidRPr="00ED5E28">
              <w:rPr>
                <w:rFonts w:ascii="Arial" w:hAnsi="Arial" w:cs="Arial"/>
              </w:rPr>
              <w:t> </w:t>
            </w:r>
            <w:r w:rsidRPr="00ED5E28">
              <w:t> </w:t>
            </w:r>
          </w:p>
          <w:p w14:paraId="673C9967" w14:textId="77777777" w:rsidR="00ED5E28" w:rsidRPr="00ED5E28" w:rsidRDefault="00ED5E28" w:rsidP="00ED5E28">
            <w:pPr>
              <w:numPr>
                <w:ilvl w:val="0"/>
                <w:numId w:val="13"/>
              </w:numPr>
            </w:pPr>
            <w:r w:rsidRPr="00ED5E28">
              <w:rPr>
                <w:lang w:val="en-US"/>
              </w:rPr>
              <w:t>Local Government Act 2000,</w:t>
            </w:r>
            <w:r w:rsidRPr="00ED5E28">
              <w:rPr>
                <w:rFonts w:ascii="Arial" w:hAnsi="Arial" w:cs="Arial"/>
                <w:lang w:val="en-US"/>
              </w:rPr>
              <w:t> </w:t>
            </w:r>
            <w:r w:rsidRPr="00ED5E28">
              <w:rPr>
                <w:rFonts w:ascii="Arial" w:hAnsi="Arial" w:cs="Arial"/>
              </w:rPr>
              <w:t> </w:t>
            </w:r>
            <w:r w:rsidRPr="00ED5E28">
              <w:t> </w:t>
            </w:r>
          </w:p>
          <w:p w14:paraId="1AD5F26A" w14:textId="77777777" w:rsidR="00ED5E28" w:rsidRPr="00ED5E28" w:rsidRDefault="00ED5E28" w:rsidP="00ED5E28">
            <w:pPr>
              <w:numPr>
                <w:ilvl w:val="0"/>
                <w:numId w:val="14"/>
              </w:numPr>
            </w:pPr>
            <w:r w:rsidRPr="00ED5E28">
              <w:rPr>
                <w:lang w:val="en-US"/>
              </w:rPr>
              <w:t>Local Government (Contracts) Act 1997</w:t>
            </w:r>
            <w:r w:rsidRPr="00ED5E28">
              <w:rPr>
                <w:rFonts w:ascii="Arial" w:hAnsi="Arial" w:cs="Arial"/>
                <w:lang w:val="en-US"/>
              </w:rPr>
              <w:t> </w:t>
            </w:r>
            <w:r w:rsidRPr="00ED5E28">
              <w:rPr>
                <w:rFonts w:ascii="Arial" w:hAnsi="Arial" w:cs="Arial"/>
              </w:rPr>
              <w:t> </w:t>
            </w:r>
            <w:r w:rsidRPr="00ED5E28">
              <w:t> </w:t>
            </w:r>
          </w:p>
          <w:p w14:paraId="1CC198DD" w14:textId="77777777" w:rsidR="00ED5E28" w:rsidRPr="00ED5E28" w:rsidRDefault="00ED5E28" w:rsidP="00ED5E28">
            <w:pPr>
              <w:numPr>
                <w:ilvl w:val="0"/>
                <w:numId w:val="15"/>
              </w:numPr>
            </w:pPr>
            <w:r w:rsidRPr="00ED5E28">
              <w:rPr>
                <w:lang w:val="en-US"/>
              </w:rPr>
              <w:t>Equalities Act 2010</w:t>
            </w:r>
            <w:r w:rsidRPr="00ED5E28">
              <w:rPr>
                <w:rFonts w:ascii="Arial" w:hAnsi="Arial" w:cs="Arial"/>
              </w:rPr>
              <w:t> </w:t>
            </w:r>
            <w:r w:rsidRPr="00ED5E28">
              <w:t> </w:t>
            </w:r>
          </w:p>
          <w:p w14:paraId="4A120D48" w14:textId="77777777" w:rsidR="00ED5E28" w:rsidRPr="00ED5E28" w:rsidRDefault="00ED5E28" w:rsidP="00ED5E28">
            <w:pPr>
              <w:numPr>
                <w:ilvl w:val="0"/>
                <w:numId w:val="16"/>
              </w:numPr>
            </w:pPr>
            <w:r w:rsidRPr="00ED5E28">
              <w:rPr>
                <w:lang w:val="en-US"/>
              </w:rPr>
              <w:t>TUPE 2006</w:t>
            </w:r>
            <w:r w:rsidRPr="00ED5E28">
              <w:rPr>
                <w:rFonts w:ascii="Arial" w:hAnsi="Arial" w:cs="Arial"/>
              </w:rPr>
              <w:t> </w:t>
            </w:r>
            <w:r w:rsidRPr="00ED5E28">
              <w:t> </w:t>
            </w:r>
          </w:p>
          <w:p w14:paraId="3194696F" w14:textId="77777777" w:rsidR="00ED5E28" w:rsidRPr="00ED5E28" w:rsidRDefault="00ED5E28" w:rsidP="00ED5E28">
            <w:pPr>
              <w:numPr>
                <w:ilvl w:val="0"/>
                <w:numId w:val="17"/>
              </w:numPr>
            </w:pPr>
            <w:r w:rsidRPr="00ED5E28">
              <w:rPr>
                <w:lang w:val="en-US"/>
              </w:rPr>
              <w:t>Localism Act 2011</w:t>
            </w:r>
            <w:r w:rsidRPr="00ED5E28">
              <w:rPr>
                <w:rFonts w:ascii="Arial" w:hAnsi="Arial" w:cs="Arial"/>
              </w:rPr>
              <w:t> </w:t>
            </w:r>
            <w:r w:rsidRPr="00ED5E28">
              <w:t> </w:t>
            </w:r>
          </w:p>
          <w:p w14:paraId="259D9ED8" w14:textId="77777777" w:rsidR="00ED5E28" w:rsidRPr="00ED5E28" w:rsidRDefault="00ED5E28" w:rsidP="00ED5E28">
            <w:pPr>
              <w:numPr>
                <w:ilvl w:val="0"/>
                <w:numId w:val="18"/>
              </w:numPr>
            </w:pPr>
            <w:r w:rsidRPr="00ED5E28">
              <w:rPr>
                <w:lang w:val="en-US"/>
              </w:rPr>
              <w:t>Small Business, Enterprise, and Employment Act 2015</w:t>
            </w:r>
            <w:r w:rsidRPr="00ED5E28">
              <w:rPr>
                <w:rFonts w:ascii="Arial" w:hAnsi="Arial" w:cs="Arial"/>
              </w:rPr>
              <w:t> </w:t>
            </w:r>
            <w:r w:rsidRPr="00ED5E28">
              <w:t> </w:t>
            </w:r>
          </w:p>
          <w:p w14:paraId="2AE37DF1" w14:textId="77777777" w:rsidR="00ED5E28" w:rsidRPr="00ED5E28" w:rsidRDefault="00ED5E28" w:rsidP="00ED5E28">
            <w:pPr>
              <w:numPr>
                <w:ilvl w:val="0"/>
                <w:numId w:val="19"/>
              </w:numPr>
            </w:pPr>
            <w:r w:rsidRPr="00ED5E28">
              <w:rPr>
                <w:lang w:val="en-US"/>
              </w:rPr>
              <w:t>Modern Slavery Act 2015</w:t>
            </w:r>
            <w:r w:rsidRPr="00ED5E28">
              <w:rPr>
                <w:rFonts w:ascii="Arial" w:hAnsi="Arial" w:cs="Arial"/>
              </w:rPr>
              <w:t> </w:t>
            </w:r>
            <w:r w:rsidRPr="00ED5E28">
              <w:t> </w:t>
            </w:r>
          </w:p>
          <w:p w14:paraId="7463463D" w14:textId="77777777" w:rsidR="00ED5E28" w:rsidRPr="00ED5E28" w:rsidRDefault="00ED5E28" w:rsidP="00ED5E28">
            <w:pPr>
              <w:numPr>
                <w:ilvl w:val="0"/>
                <w:numId w:val="20"/>
              </w:numPr>
            </w:pPr>
            <w:r w:rsidRPr="00ED5E28">
              <w:rPr>
                <w:lang w:val="en-US"/>
              </w:rPr>
              <w:t>The Public Services (Social Value) Act 2012</w:t>
            </w:r>
            <w:r w:rsidRPr="00ED5E28">
              <w:rPr>
                <w:rFonts w:ascii="Arial" w:hAnsi="Arial" w:cs="Arial"/>
              </w:rPr>
              <w:t> </w:t>
            </w:r>
            <w:r w:rsidRPr="00ED5E28">
              <w:t> </w:t>
            </w:r>
          </w:p>
          <w:p w14:paraId="1F8A7B23" w14:textId="77777777" w:rsidR="00ED5E28" w:rsidRPr="00ED5E28" w:rsidRDefault="00ED5E28" w:rsidP="00ED5E28">
            <w:pPr>
              <w:numPr>
                <w:ilvl w:val="0"/>
                <w:numId w:val="21"/>
              </w:numPr>
            </w:pPr>
            <w:r w:rsidRPr="00ED5E28">
              <w:rPr>
                <w:lang w:val="en-US"/>
              </w:rPr>
              <w:t>Local Government Transparency Code 2015</w:t>
            </w:r>
            <w:r w:rsidRPr="00ED5E28">
              <w:rPr>
                <w:rFonts w:ascii="Arial" w:hAnsi="Arial" w:cs="Arial"/>
              </w:rPr>
              <w:t> </w:t>
            </w:r>
            <w:r w:rsidRPr="00ED5E28">
              <w:t> </w:t>
            </w:r>
          </w:p>
          <w:p w14:paraId="1EA2B3A0" w14:textId="77777777" w:rsidR="00ED5E28" w:rsidRPr="00ED5E28" w:rsidRDefault="00ED5E28" w:rsidP="00ED5E28">
            <w:pPr>
              <w:numPr>
                <w:ilvl w:val="0"/>
                <w:numId w:val="22"/>
              </w:numPr>
            </w:pPr>
            <w:r w:rsidRPr="00ED5E28">
              <w:rPr>
                <w:lang w:val="en-US"/>
              </w:rPr>
              <w:t>The Health and Safety at Work etc. Act 1974</w:t>
            </w:r>
            <w:r w:rsidRPr="00ED5E28">
              <w:rPr>
                <w:rFonts w:ascii="Arial" w:hAnsi="Arial" w:cs="Arial"/>
              </w:rPr>
              <w:t> </w:t>
            </w:r>
            <w:r w:rsidRPr="00ED5E28">
              <w:t> </w:t>
            </w:r>
          </w:p>
        </w:tc>
      </w:tr>
      <w:tr w:rsidR="00ED5E28" w:rsidRPr="00ED5E28" w14:paraId="5D123C07"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4BF0A74" w14:textId="77777777" w:rsidR="00ED5E28" w:rsidRPr="00ED5E28" w:rsidRDefault="00ED5E28" w:rsidP="00ED5E28">
            <w:r w:rsidRPr="00ED5E28">
              <w:t>Relevant Procurement Legislation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000BB70" w14:textId="77777777" w:rsidR="00ED5E28" w:rsidRPr="00ED5E28" w:rsidRDefault="00ED5E28" w:rsidP="00ED5E28">
            <w:pPr>
              <w:numPr>
                <w:ilvl w:val="0"/>
                <w:numId w:val="23"/>
              </w:numPr>
            </w:pPr>
            <w:r w:rsidRPr="00ED5E28">
              <w:t>Public Contracts Regulations 2015 or Concession Contracts Regulations 2016 </w:t>
            </w:r>
          </w:p>
          <w:p w14:paraId="47239379" w14:textId="77777777" w:rsidR="00ED5E28" w:rsidRPr="00ED5E28" w:rsidRDefault="00ED5E28" w:rsidP="00ED5E28">
            <w:pPr>
              <w:numPr>
                <w:ilvl w:val="0"/>
                <w:numId w:val="24"/>
              </w:numPr>
            </w:pPr>
            <w:r w:rsidRPr="00ED5E28">
              <w:t>Procurement Act 2023, Procurement Regulations 2024  </w:t>
            </w:r>
          </w:p>
          <w:p w14:paraId="3ADD765A" w14:textId="77777777" w:rsidR="00ED5E28" w:rsidRPr="00ED5E28" w:rsidRDefault="00ED5E28" w:rsidP="00ED5E28">
            <w:pPr>
              <w:numPr>
                <w:ilvl w:val="0"/>
                <w:numId w:val="25"/>
              </w:numPr>
            </w:pPr>
            <w:r w:rsidRPr="00ED5E28">
              <w:t>Provider Services Regime 2023 where the procurement relates to health care services.</w:t>
            </w:r>
            <w:r w:rsidRPr="00ED5E28">
              <w:rPr>
                <w:rFonts w:ascii="Arial" w:hAnsi="Arial" w:cs="Arial"/>
              </w:rPr>
              <w:t> </w:t>
            </w:r>
            <w:r w:rsidRPr="00ED5E28">
              <w:t> </w:t>
            </w:r>
          </w:p>
        </w:tc>
      </w:tr>
      <w:tr w:rsidR="00ED5E28" w:rsidRPr="00ED5E28" w14:paraId="634D9E8D"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1F95B083" w14:textId="77777777" w:rsidR="00ED5E28" w:rsidRPr="00ED5E28" w:rsidRDefault="00ED5E28" w:rsidP="00ED5E28">
            <w:r w:rsidRPr="00ED5E28">
              <w:t>Request to Participate</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CA14E82" w14:textId="77777777" w:rsidR="00ED5E28" w:rsidRPr="00ED5E28" w:rsidRDefault="00ED5E28" w:rsidP="00ED5E28">
            <w:r w:rsidRPr="00ED5E28">
              <w:t>The submission of a response to the Conditions of Participation published with a Tender Notice where these Conditions of Participation are a discrete stage in a Competitive Flexible Procedure.</w:t>
            </w:r>
            <w:r w:rsidRPr="00ED5E28">
              <w:rPr>
                <w:rFonts w:ascii="Arial" w:hAnsi="Arial" w:cs="Arial"/>
              </w:rPr>
              <w:t> </w:t>
            </w:r>
            <w:r w:rsidRPr="00ED5E28">
              <w:t> </w:t>
            </w:r>
          </w:p>
        </w:tc>
      </w:tr>
      <w:tr w:rsidR="00ED5E28" w:rsidRPr="00ED5E28" w14:paraId="18918913"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3C87272" w14:textId="77777777" w:rsidR="00ED5E28" w:rsidRPr="00ED5E28" w:rsidRDefault="00ED5E28" w:rsidP="00ED5E28">
            <w:r w:rsidRPr="00ED5E28">
              <w:lastRenderedPageBreak/>
              <w:t>Sensitive Commercial Information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BDB567B" w14:textId="77777777" w:rsidR="00ED5E28" w:rsidRPr="00ED5E28" w:rsidRDefault="00ED5E28" w:rsidP="00ED5E28">
            <w:r w:rsidRPr="00ED5E28">
              <w:t xml:space="preserve">Information that constitutes a trade </w:t>
            </w:r>
            <w:proofErr w:type="gramStart"/>
            <w:r w:rsidRPr="00ED5E28">
              <w:t>secret, or</w:t>
            </w:r>
            <w:proofErr w:type="gramEnd"/>
            <w:r w:rsidRPr="00ED5E28">
              <w:t xml:space="preserve"> would be likely to prejudice the commercial interests of any person if it were published or otherwise disclosed.</w:t>
            </w:r>
            <w:r w:rsidRPr="00ED5E28">
              <w:rPr>
                <w:rFonts w:ascii="Arial" w:hAnsi="Arial" w:cs="Arial"/>
              </w:rPr>
              <w:t> </w:t>
            </w:r>
            <w:r w:rsidRPr="00ED5E28">
              <w:t> </w:t>
            </w:r>
          </w:p>
        </w:tc>
      </w:tr>
      <w:tr w:rsidR="00ED5E28" w:rsidRPr="00ED5E28" w14:paraId="1AB2331D"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2444FF5" w14:textId="77777777" w:rsidR="00ED5E28" w:rsidRPr="00ED5E28" w:rsidRDefault="00ED5E28" w:rsidP="00ED5E28">
            <w:r w:rsidRPr="00ED5E28">
              <w:t>Site Visit</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31BC2A5E" w14:textId="77777777" w:rsidR="00ED5E28" w:rsidRPr="00ED5E28" w:rsidRDefault="00ED5E28" w:rsidP="00ED5E28">
            <w:r w:rsidRPr="00ED5E28">
              <w:t>A visit to an office, or project location to aid a Supplier in understanding the Contract requirements/specification and to aid in putting in an effective and compliant Tender.</w:t>
            </w:r>
            <w:r w:rsidRPr="00ED5E28">
              <w:rPr>
                <w:rFonts w:ascii="Arial" w:hAnsi="Arial" w:cs="Arial"/>
              </w:rPr>
              <w:t> </w:t>
            </w:r>
            <w:r w:rsidRPr="00ED5E28">
              <w:t> </w:t>
            </w:r>
          </w:p>
        </w:tc>
      </w:tr>
      <w:tr w:rsidR="00ED5E28" w:rsidRPr="00ED5E28" w14:paraId="53B59095"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15FA6A4" w14:textId="77777777" w:rsidR="00ED5E28" w:rsidRPr="00ED5E28" w:rsidRDefault="00ED5E28" w:rsidP="00ED5E28">
            <w:r w:rsidRPr="00ED5E28">
              <w:t>Specification</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0D88C9E2" w14:textId="77777777" w:rsidR="00ED5E28" w:rsidRPr="00ED5E28" w:rsidRDefault="00ED5E28" w:rsidP="00ED5E28">
            <w:r w:rsidRPr="00ED5E28">
              <w:t>The document that sets out the Authority’s specific requirements for a specific contract/project.</w:t>
            </w:r>
            <w:r w:rsidRPr="00ED5E28">
              <w:rPr>
                <w:rFonts w:ascii="Arial" w:hAnsi="Arial" w:cs="Arial"/>
              </w:rPr>
              <w:t> </w:t>
            </w:r>
            <w:r w:rsidRPr="00ED5E28">
              <w:t> </w:t>
            </w:r>
          </w:p>
        </w:tc>
      </w:tr>
      <w:tr w:rsidR="00ED5E28" w:rsidRPr="00ED5E28" w14:paraId="5A7FBC5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77887C8" w14:textId="77777777" w:rsidR="00ED5E28" w:rsidRPr="00ED5E28" w:rsidRDefault="00ED5E28" w:rsidP="00ED5E28">
            <w:r w:rsidRPr="00ED5E28">
              <w:t>SMEs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5FDF3D2" w14:textId="77777777" w:rsidR="00ED5E28" w:rsidRPr="00ED5E28" w:rsidRDefault="00ED5E28" w:rsidP="00ED5E28">
            <w:r w:rsidRPr="00ED5E28">
              <w:t>Small and Medium Enterprises – fewer than 250 employees and annual turnover not exceedingly approximately £50 million.</w:t>
            </w:r>
            <w:r w:rsidRPr="00ED5E28">
              <w:rPr>
                <w:rFonts w:ascii="Arial" w:hAnsi="Arial" w:cs="Arial"/>
              </w:rPr>
              <w:t> </w:t>
            </w:r>
            <w:r w:rsidRPr="00ED5E28">
              <w:t> </w:t>
            </w:r>
          </w:p>
        </w:tc>
      </w:tr>
      <w:tr w:rsidR="00ED5E28" w:rsidRPr="00ED5E28" w14:paraId="468BE96F"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71695BE0" w14:textId="77777777" w:rsidR="00ED5E28" w:rsidRPr="00ED5E28" w:rsidRDefault="00ED5E28" w:rsidP="00ED5E28">
            <w:r w:rsidRPr="00ED5E28">
              <w:t>Standstill Period</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1F68D65" w14:textId="77777777" w:rsidR="00ED5E28" w:rsidRPr="00ED5E28" w:rsidRDefault="00ED5E28" w:rsidP="00ED5E28">
            <w:r w:rsidRPr="00ED5E28">
              <w:t>A period of eight working days commencing on the day that the Contract Award Notice was published on the Central Digital Platform.</w:t>
            </w:r>
            <w:r w:rsidRPr="00ED5E28">
              <w:rPr>
                <w:rFonts w:ascii="Arial" w:hAnsi="Arial" w:cs="Arial"/>
              </w:rPr>
              <w:t> </w:t>
            </w:r>
            <w:r w:rsidRPr="00ED5E28">
              <w:t> </w:t>
            </w:r>
          </w:p>
          <w:p w14:paraId="1A9B409F" w14:textId="77777777" w:rsidR="00ED5E28" w:rsidRPr="00ED5E28" w:rsidRDefault="00ED5E28" w:rsidP="00ED5E28">
            <w:r w:rsidRPr="00ED5E28">
              <w:t>Mandatory for all Covered Procurements other than for the following exceptions, for which a Voluntary Standstill Period of eight working days may still be applied.</w:t>
            </w:r>
            <w:r w:rsidRPr="00ED5E28">
              <w:rPr>
                <w:rFonts w:ascii="Arial" w:hAnsi="Arial" w:cs="Arial"/>
              </w:rPr>
              <w:t> </w:t>
            </w:r>
            <w:r w:rsidRPr="00ED5E28">
              <w:t> </w:t>
            </w:r>
          </w:p>
          <w:p w14:paraId="510AE103" w14:textId="77777777" w:rsidR="00ED5E28" w:rsidRPr="00ED5E28" w:rsidRDefault="00ED5E28" w:rsidP="00ED5E28">
            <w:pPr>
              <w:numPr>
                <w:ilvl w:val="0"/>
                <w:numId w:val="26"/>
              </w:numPr>
            </w:pPr>
            <w:r w:rsidRPr="00ED5E28">
              <w:t>Direct Award  </w:t>
            </w:r>
          </w:p>
          <w:p w14:paraId="29671458" w14:textId="77777777" w:rsidR="00ED5E28" w:rsidRPr="00ED5E28" w:rsidRDefault="00ED5E28" w:rsidP="00ED5E28">
            <w:pPr>
              <w:numPr>
                <w:ilvl w:val="0"/>
                <w:numId w:val="27"/>
              </w:numPr>
            </w:pPr>
            <w:r w:rsidRPr="00ED5E28">
              <w:t>Award under a Framework</w:t>
            </w:r>
            <w:r w:rsidRPr="00ED5E28">
              <w:rPr>
                <w:rFonts w:ascii="Arial" w:hAnsi="Arial" w:cs="Arial"/>
              </w:rPr>
              <w:t> </w:t>
            </w:r>
            <w:r w:rsidRPr="00ED5E28">
              <w:t> </w:t>
            </w:r>
          </w:p>
          <w:p w14:paraId="72844F27" w14:textId="77777777" w:rsidR="00ED5E28" w:rsidRPr="00ED5E28" w:rsidRDefault="00ED5E28" w:rsidP="00ED5E28">
            <w:pPr>
              <w:numPr>
                <w:ilvl w:val="0"/>
                <w:numId w:val="28"/>
              </w:numPr>
            </w:pPr>
            <w:r w:rsidRPr="00ED5E28">
              <w:t>Award by reference to a Dynamic Market</w:t>
            </w:r>
            <w:r w:rsidRPr="00ED5E28">
              <w:rPr>
                <w:rFonts w:ascii="Arial" w:hAnsi="Arial" w:cs="Arial"/>
              </w:rPr>
              <w:t> </w:t>
            </w:r>
            <w:r w:rsidRPr="00ED5E28">
              <w:t> </w:t>
            </w:r>
          </w:p>
          <w:p w14:paraId="58DD8D8B" w14:textId="77777777" w:rsidR="00ED5E28" w:rsidRPr="00ED5E28" w:rsidRDefault="00ED5E28" w:rsidP="00ED5E28">
            <w:pPr>
              <w:numPr>
                <w:ilvl w:val="0"/>
                <w:numId w:val="29"/>
              </w:numPr>
            </w:pPr>
            <w:r w:rsidRPr="00ED5E28">
              <w:t>A light touch Contract</w:t>
            </w:r>
            <w:r w:rsidRPr="00ED5E28">
              <w:rPr>
                <w:rFonts w:ascii="Arial" w:hAnsi="Arial" w:cs="Arial"/>
              </w:rPr>
              <w:t> </w:t>
            </w:r>
            <w:r w:rsidRPr="00ED5E28">
              <w:t> </w:t>
            </w:r>
          </w:p>
        </w:tc>
      </w:tr>
      <w:tr w:rsidR="00ED5E28" w:rsidRPr="00ED5E28" w14:paraId="13DEB5F6"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00871C4C" w14:textId="77777777" w:rsidR="00ED5E28" w:rsidRPr="00ED5E28" w:rsidRDefault="00ED5E28" w:rsidP="00ED5E28">
            <w:r w:rsidRPr="00ED5E28">
              <w:t>Suppliers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5A554256" w14:textId="77777777" w:rsidR="00ED5E28" w:rsidRPr="00ED5E28" w:rsidRDefault="00ED5E28" w:rsidP="00ED5E28">
            <w:r w:rsidRPr="00ED5E28">
              <w:t>Economic operators, tenderers, bidders, contractors (or subcontractors), third party organisations supplying goods, services or works to the Authority.</w:t>
            </w:r>
            <w:r w:rsidRPr="00ED5E28">
              <w:rPr>
                <w:rFonts w:ascii="Arial" w:hAnsi="Arial" w:cs="Arial"/>
              </w:rPr>
              <w:t> </w:t>
            </w:r>
            <w:r w:rsidRPr="00ED5E28">
              <w:t> </w:t>
            </w:r>
          </w:p>
        </w:tc>
      </w:tr>
      <w:tr w:rsidR="00ED5E28" w:rsidRPr="00ED5E28" w14:paraId="517ACD3D"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1F75FB4" w14:textId="77777777" w:rsidR="00ED5E28" w:rsidRPr="00ED5E28" w:rsidRDefault="00ED5E28" w:rsidP="00ED5E28">
            <w:r w:rsidRPr="00ED5E28">
              <w:t>Tender Notices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6A1F6537" w14:textId="77777777" w:rsidR="00ED5E28" w:rsidRPr="00ED5E28" w:rsidRDefault="00ED5E28" w:rsidP="00ED5E28">
            <w:r w:rsidRPr="00ED5E28">
              <w:t>An invitation issued by the Authority to Suppliers to submit proposals or bids to provide goods or services.</w:t>
            </w:r>
            <w:r w:rsidRPr="00ED5E28">
              <w:rPr>
                <w:rFonts w:ascii="Arial" w:hAnsi="Arial" w:cs="Arial"/>
              </w:rPr>
              <w:t> </w:t>
            </w:r>
            <w:r w:rsidRPr="00ED5E28">
              <w:t> </w:t>
            </w:r>
          </w:p>
        </w:tc>
      </w:tr>
      <w:tr w:rsidR="00ED5E28" w:rsidRPr="00ED5E28" w14:paraId="7A23B3A9"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6F208A54" w14:textId="77777777" w:rsidR="00ED5E28" w:rsidRPr="00ED5E28" w:rsidRDefault="00ED5E28" w:rsidP="00ED5E28">
            <w:r w:rsidRPr="00ED5E28">
              <w:t>Tender Record</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E67AB4E" w14:textId="77777777" w:rsidR="00ED5E28" w:rsidRPr="00ED5E28" w:rsidRDefault="00ED5E28" w:rsidP="00ED5E28">
            <w:r w:rsidRPr="00ED5E28">
              <w:t>A record of all decisions made during the life of a Covered Procurement. </w:t>
            </w:r>
          </w:p>
        </w:tc>
      </w:tr>
      <w:tr w:rsidR="00ED5E28" w:rsidRPr="00ED5E28" w14:paraId="6EE34D9B"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6B062EA" w14:textId="77777777" w:rsidR="00ED5E28" w:rsidRPr="00ED5E28" w:rsidRDefault="00ED5E28" w:rsidP="00ED5E28">
            <w:r w:rsidRPr="00ED5E28">
              <w:t>Tender Rounds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7CF830C" w14:textId="77777777" w:rsidR="00ED5E28" w:rsidRPr="00ED5E28" w:rsidRDefault="00ED5E28" w:rsidP="00ED5E28">
            <w:r w:rsidRPr="00ED5E28">
              <w:t>Initial, intermediate, and/or final Tender stage, in a Competitive Flexible Procedure.</w:t>
            </w:r>
            <w:r w:rsidRPr="00ED5E28">
              <w:rPr>
                <w:rFonts w:ascii="Arial" w:hAnsi="Arial" w:cs="Arial"/>
              </w:rPr>
              <w:t> </w:t>
            </w:r>
            <w:r w:rsidRPr="00ED5E28">
              <w:t> </w:t>
            </w:r>
          </w:p>
        </w:tc>
      </w:tr>
      <w:tr w:rsidR="00ED5E28" w:rsidRPr="00ED5E28" w14:paraId="0C4E95A8"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21252307" w14:textId="77777777" w:rsidR="00ED5E28" w:rsidRPr="00ED5E28" w:rsidRDefault="00ED5E28" w:rsidP="00ED5E28">
            <w:r w:rsidRPr="00ED5E28">
              <w:t>Treaty State Supplier</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28BD96CA" w14:textId="77777777" w:rsidR="00ED5E28" w:rsidRPr="00ED5E28" w:rsidRDefault="00ED5E28" w:rsidP="00ED5E28">
            <w:r w:rsidRPr="00ED5E28">
              <w:t>A Supplier that is entitled to the benefits of an international agreement (part of the WTO or other formal arrangement).</w:t>
            </w:r>
            <w:r w:rsidRPr="00ED5E28">
              <w:rPr>
                <w:rFonts w:ascii="Arial" w:hAnsi="Arial" w:cs="Arial"/>
              </w:rPr>
              <w:t> </w:t>
            </w:r>
            <w:r w:rsidRPr="00ED5E28">
              <w:t> </w:t>
            </w:r>
          </w:p>
        </w:tc>
      </w:tr>
      <w:tr w:rsidR="00ED5E28" w:rsidRPr="00ED5E28" w14:paraId="736A313B"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3DD01271" w14:textId="77777777" w:rsidR="00ED5E28" w:rsidRPr="00ED5E28" w:rsidRDefault="00ED5E28" w:rsidP="00ED5E28">
            <w:r w:rsidRPr="00ED5E28">
              <w:lastRenderedPageBreak/>
              <w:t>Utilities Contracts</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72604CAB" w14:textId="77777777" w:rsidR="00ED5E28" w:rsidRPr="00ED5E28" w:rsidRDefault="00ED5E28" w:rsidP="00ED5E28">
            <w:r w:rsidRPr="00ED5E28">
              <w:t>A Contract for the supply of goods, services or works wholly or mainly for the purpose of a utility activity (gas, electricity, water).</w:t>
            </w:r>
            <w:r w:rsidRPr="00ED5E28">
              <w:rPr>
                <w:rFonts w:ascii="Arial" w:hAnsi="Arial" w:cs="Arial"/>
              </w:rPr>
              <w:t> </w:t>
            </w:r>
            <w:r w:rsidRPr="00ED5E28">
              <w:t> </w:t>
            </w:r>
          </w:p>
        </w:tc>
      </w:tr>
      <w:tr w:rsidR="00ED5E28" w:rsidRPr="00ED5E28" w14:paraId="38F52CF9" w14:textId="77777777" w:rsidTr="00ED5E28">
        <w:trPr>
          <w:trHeight w:val="300"/>
        </w:trPr>
        <w:tc>
          <w:tcPr>
            <w:tcW w:w="1980" w:type="dxa"/>
            <w:tcBorders>
              <w:top w:val="nil"/>
              <w:left w:val="single" w:sz="8" w:space="0" w:color="auto"/>
              <w:bottom w:val="single" w:sz="8" w:space="0" w:color="auto"/>
              <w:right w:val="single" w:sz="8" w:space="0" w:color="auto"/>
            </w:tcBorders>
            <w:vAlign w:val="center"/>
            <w:hideMark/>
          </w:tcPr>
          <w:p w14:paraId="4BEFA10A" w14:textId="77777777" w:rsidR="00ED5E28" w:rsidRPr="00ED5E28" w:rsidRDefault="00ED5E28" w:rsidP="00ED5E28">
            <w:r w:rsidRPr="00ED5E28">
              <w:t>Value for Money</w:t>
            </w:r>
            <w:r w:rsidRPr="00ED5E28">
              <w:rPr>
                <w:rFonts w:ascii="Arial" w:hAnsi="Arial" w:cs="Arial"/>
              </w:rPr>
              <w:t> </w:t>
            </w:r>
            <w:r w:rsidRPr="00ED5E28">
              <w:t> </w:t>
            </w:r>
          </w:p>
        </w:tc>
        <w:tc>
          <w:tcPr>
            <w:tcW w:w="7365" w:type="dxa"/>
            <w:tcBorders>
              <w:top w:val="nil"/>
              <w:left w:val="nil"/>
              <w:bottom w:val="single" w:sz="8" w:space="0" w:color="auto"/>
              <w:right w:val="single" w:sz="8" w:space="0" w:color="auto"/>
            </w:tcBorders>
            <w:vAlign w:val="center"/>
            <w:hideMark/>
          </w:tcPr>
          <w:p w14:paraId="4301D92B" w14:textId="77777777" w:rsidR="00ED5E28" w:rsidRPr="00ED5E28" w:rsidRDefault="00ED5E28" w:rsidP="00ED5E28">
            <w:r w:rsidRPr="00ED5E28">
              <w:t>The balance of quality and price deemed representative of the Most Advantageous Tender</w:t>
            </w:r>
            <w:r w:rsidRPr="00ED5E28">
              <w:rPr>
                <w:rFonts w:ascii="Arial" w:hAnsi="Arial" w:cs="Arial"/>
              </w:rPr>
              <w:t> </w:t>
            </w:r>
            <w:r w:rsidRPr="00ED5E28">
              <w:t> </w:t>
            </w:r>
          </w:p>
        </w:tc>
      </w:tr>
    </w:tbl>
    <w:p w14:paraId="0FAF92E2" w14:textId="77777777" w:rsidR="00ED5E28" w:rsidRDefault="00ED5E28"/>
    <w:sectPr w:rsidR="00ED5E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E1E6" w14:textId="77777777" w:rsidR="00ED5E28" w:rsidRDefault="00ED5E28" w:rsidP="00ED5E28">
      <w:pPr>
        <w:spacing w:after="0" w:line="240" w:lineRule="auto"/>
      </w:pPr>
      <w:r>
        <w:separator/>
      </w:r>
    </w:p>
  </w:endnote>
  <w:endnote w:type="continuationSeparator" w:id="0">
    <w:p w14:paraId="2130A1C0" w14:textId="77777777" w:rsidR="00ED5E28" w:rsidRDefault="00ED5E28" w:rsidP="00ED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7D661" w14:textId="77777777" w:rsidR="00ED5E28" w:rsidRDefault="00ED5E28" w:rsidP="00ED5E28">
      <w:pPr>
        <w:spacing w:after="0" w:line="240" w:lineRule="auto"/>
      </w:pPr>
      <w:r>
        <w:separator/>
      </w:r>
    </w:p>
  </w:footnote>
  <w:footnote w:type="continuationSeparator" w:id="0">
    <w:p w14:paraId="1222A3DA" w14:textId="77777777" w:rsidR="00ED5E28" w:rsidRDefault="00ED5E28" w:rsidP="00ED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03F"/>
    <w:multiLevelType w:val="multilevel"/>
    <w:tmpl w:val="5B787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806B0"/>
    <w:multiLevelType w:val="multilevel"/>
    <w:tmpl w:val="84B0F39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7581"/>
    <w:multiLevelType w:val="multilevel"/>
    <w:tmpl w:val="63D44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4778D"/>
    <w:multiLevelType w:val="multilevel"/>
    <w:tmpl w:val="5A5E469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DF94DEE"/>
    <w:multiLevelType w:val="multilevel"/>
    <w:tmpl w:val="ECA2CA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87B97"/>
    <w:multiLevelType w:val="multilevel"/>
    <w:tmpl w:val="535A3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618A"/>
    <w:multiLevelType w:val="multilevel"/>
    <w:tmpl w:val="9336F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767B2"/>
    <w:multiLevelType w:val="multilevel"/>
    <w:tmpl w:val="A6ACC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54006"/>
    <w:multiLevelType w:val="multilevel"/>
    <w:tmpl w:val="B5E8F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80847"/>
    <w:multiLevelType w:val="multilevel"/>
    <w:tmpl w:val="54F82B5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A5D729C"/>
    <w:multiLevelType w:val="multilevel"/>
    <w:tmpl w:val="1480D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36B80"/>
    <w:multiLevelType w:val="multilevel"/>
    <w:tmpl w:val="988A7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C6096C"/>
    <w:multiLevelType w:val="multilevel"/>
    <w:tmpl w:val="6FE29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8119C6"/>
    <w:multiLevelType w:val="multilevel"/>
    <w:tmpl w:val="0A7A6D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C47FE"/>
    <w:multiLevelType w:val="multilevel"/>
    <w:tmpl w:val="35DA33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4423278B"/>
    <w:multiLevelType w:val="multilevel"/>
    <w:tmpl w:val="69648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022734"/>
    <w:multiLevelType w:val="multilevel"/>
    <w:tmpl w:val="4EF47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3B5ED0"/>
    <w:multiLevelType w:val="multilevel"/>
    <w:tmpl w:val="3CD06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D5E09"/>
    <w:multiLevelType w:val="multilevel"/>
    <w:tmpl w:val="6FA23D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330FD2"/>
    <w:multiLevelType w:val="multilevel"/>
    <w:tmpl w:val="1AC8D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7528F6"/>
    <w:multiLevelType w:val="multilevel"/>
    <w:tmpl w:val="4CAE02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7232F"/>
    <w:multiLevelType w:val="multilevel"/>
    <w:tmpl w:val="0FE291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5A931552"/>
    <w:multiLevelType w:val="multilevel"/>
    <w:tmpl w:val="507C3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493E2B"/>
    <w:multiLevelType w:val="multilevel"/>
    <w:tmpl w:val="767CE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061E08"/>
    <w:multiLevelType w:val="multilevel"/>
    <w:tmpl w:val="8B9E9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167079"/>
    <w:multiLevelType w:val="multilevel"/>
    <w:tmpl w:val="38A0B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60707"/>
    <w:multiLevelType w:val="multilevel"/>
    <w:tmpl w:val="B504D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34431E"/>
    <w:multiLevelType w:val="multilevel"/>
    <w:tmpl w:val="52CAA0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F7928"/>
    <w:multiLevelType w:val="multilevel"/>
    <w:tmpl w:val="8FD42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8792546">
    <w:abstractNumId w:val="15"/>
    <w:lvlOverride w:ilvl="0"/>
    <w:lvlOverride w:ilvl="1"/>
    <w:lvlOverride w:ilvl="2"/>
    <w:lvlOverride w:ilvl="3"/>
    <w:lvlOverride w:ilvl="4"/>
    <w:lvlOverride w:ilvl="5"/>
    <w:lvlOverride w:ilvl="6"/>
    <w:lvlOverride w:ilvl="7"/>
    <w:lvlOverride w:ilvl="8"/>
  </w:num>
  <w:num w:numId="2" w16cid:durableId="495531948">
    <w:abstractNumId w:val="26"/>
    <w:lvlOverride w:ilvl="0"/>
    <w:lvlOverride w:ilvl="1"/>
    <w:lvlOverride w:ilvl="2"/>
    <w:lvlOverride w:ilvl="3"/>
    <w:lvlOverride w:ilvl="4"/>
    <w:lvlOverride w:ilvl="5"/>
    <w:lvlOverride w:ilvl="6"/>
    <w:lvlOverride w:ilvl="7"/>
    <w:lvlOverride w:ilvl="8"/>
  </w:num>
  <w:num w:numId="3" w16cid:durableId="2057119269">
    <w:abstractNumId w:val="23"/>
    <w:lvlOverride w:ilvl="0"/>
    <w:lvlOverride w:ilvl="1"/>
    <w:lvlOverride w:ilvl="2"/>
    <w:lvlOverride w:ilvl="3"/>
    <w:lvlOverride w:ilvl="4"/>
    <w:lvlOverride w:ilvl="5"/>
    <w:lvlOverride w:ilvl="6"/>
    <w:lvlOverride w:ilvl="7"/>
    <w:lvlOverride w:ilvl="8"/>
  </w:num>
  <w:num w:numId="4" w16cid:durableId="770273996">
    <w:abstractNumId w:val="10"/>
    <w:lvlOverride w:ilvl="0"/>
    <w:lvlOverride w:ilvl="1"/>
    <w:lvlOverride w:ilvl="2"/>
    <w:lvlOverride w:ilvl="3"/>
    <w:lvlOverride w:ilvl="4"/>
    <w:lvlOverride w:ilvl="5"/>
    <w:lvlOverride w:ilvl="6"/>
    <w:lvlOverride w:ilvl="7"/>
    <w:lvlOverride w:ilvl="8"/>
  </w:num>
  <w:num w:numId="5" w16cid:durableId="19071083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64260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334828">
    <w:abstractNumId w:val="22"/>
    <w:lvlOverride w:ilvl="0"/>
    <w:lvlOverride w:ilvl="1"/>
    <w:lvlOverride w:ilvl="2"/>
    <w:lvlOverride w:ilvl="3"/>
    <w:lvlOverride w:ilvl="4"/>
    <w:lvlOverride w:ilvl="5"/>
    <w:lvlOverride w:ilvl="6"/>
    <w:lvlOverride w:ilvl="7"/>
    <w:lvlOverride w:ilvl="8"/>
  </w:num>
  <w:num w:numId="8" w16cid:durableId="1161969407">
    <w:abstractNumId w:val="28"/>
    <w:lvlOverride w:ilvl="0"/>
    <w:lvlOverride w:ilvl="1"/>
    <w:lvlOverride w:ilvl="2"/>
    <w:lvlOverride w:ilvl="3"/>
    <w:lvlOverride w:ilvl="4"/>
    <w:lvlOverride w:ilvl="5"/>
    <w:lvlOverride w:ilvl="6"/>
    <w:lvlOverride w:ilvl="7"/>
    <w:lvlOverride w:ilvl="8"/>
  </w:num>
  <w:num w:numId="9" w16cid:durableId="9200269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336497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6896427">
    <w:abstractNumId w:val="0"/>
    <w:lvlOverride w:ilvl="0"/>
    <w:lvlOverride w:ilvl="1"/>
    <w:lvlOverride w:ilvl="2"/>
    <w:lvlOverride w:ilvl="3"/>
    <w:lvlOverride w:ilvl="4"/>
    <w:lvlOverride w:ilvl="5"/>
    <w:lvlOverride w:ilvl="6"/>
    <w:lvlOverride w:ilvl="7"/>
    <w:lvlOverride w:ilvl="8"/>
  </w:num>
  <w:num w:numId="12" w16cid:durableId="2135052467">
    <w:abstractNumId w:val="7"/>
    <w:lvlOverride w:ilvl="0"/>
    <w:lvlOverride w:ilvl="1"/>
    <w:lvlOverride w:ilvl="2"/>
    <w:lvlOverride w:ilvl="3"/>
    <w:lvlOverride w:ilvl="4"/>
    <w:lvlOverride w:ilvl="5"/>
    <w:lvlOverride w:ilvl="6"/>
    <w:lvlOverride w:ilvl="7"/>
    <w:lvlOverride w:ilvl="8"/>
  </w:num>
  <w:num w:numId="13" w16cid:durableId="166361831">
    <w:abstractNumId w:val="18"/>
    <w:lvlOverride w:ilvl="0"/>
    <w:lvlOverride w:ilvl="1"/>
    <w:lvlOverride w:ilvl="2"/>
    <w:lvlOverride w:ilvl="3"/>
    <w:lvlOverride w:ilvl="4"/>
    <w:lvlOverride w:ilvl="5"/>
    <w:lvlOverride w:ilvl="6"/>
    <w:lvlOverride w:ilvl="7"/>
    <w:lvlOverride w:ilvl="8"/>
  </w:num>
  <w:num w:numId="14" w16cid:durableId="1248268451">
    <w:abstractNumId w:val="25"/>
    <w:lvlOverride w:ilvl="0"/>
    <w:lvlOverride w:ilvl="1"/>
    <w:lvlOverride w:ilvl="2"/>
    <w:lvlOverride w:ilvl="3"/>
    <w:lvlOverride w:ilvl="4"/>
    <w:lvlOverride w:ilvl="5"/>
    <w:lvlOverride w:ilvl="6"/>
    <w:lvlOverride w:ilvl="7"/>
    <w:lvlOverride w:ilvl="8"/>
  </w:num>
  <w:num w:numId="15" w16cid:durableId="1930891317">
    <w:abstractNumId w:val="5"/>
    <w:lvlOverride w:ilvl="0"/>
    <w:lvlOverride w:ilvl="1"/>
    <w:lvlOverride w:ilvl="2"/>
    <w:lvlOverride w:ilvl="3"/>
    <w:lvlOverride w:ilvl="4"/>
    <w:lvlOverride w:ilvl="5"/>
    <w:lvlOverride w:ilvl="6"/>
    <w:lvlOverride w:ilvl="7"/>
    <w:lvlOverride w:ilvl="8"/>
  </w:num>
  <w:num w:numId="16" w16cid:durableId="304169042">
    <w:abstractNumId w:val="6"/>
    <w:lvlOverride w:ilvl="0"/>
    <w:lvlOverride w:ilvl="1"/>
    <w:lvlOverride w:ilvl="2"/>
    <w:lvlOverride w:ilvl="3"/>
    <w:lvlOverride w:ilvl="4"/>
    <w:lvlOverride w:ilvl="5"/>
    <w:lvlOverride w:ilvl="6"/>
    <w:lvlOverride w:ilvl="7"/>
    <w:lvlOverride w:ilvl="8"/>
  </w:num>
  <w:num w:numId="17" w16cid:durableId="546140570">
    <w:abstractNumId w:val="16"/>
    <w:lvlOverride w:ilvl="0"/>
    <w:lvlOverride w:ilvl="1"/>
    <w:lvlOverride w:ilvl="2"/>
    <w:lvlOverride w:ilvl="3"/>
    <w:lvlOverride w:ilvl="4"/>
    <w:lvlOverride w:ilvl="5"/>
    <w:lvlOverride w:ilvl="6"/>
    <w:lvlOverride w:ilvl="7"/>
    <w:lvlOverride w:ilvl="8"/>
  </w:num>
  <w:num w:numId="18" w16cid:durableId="229194729">
    <w:abstractNumId w:val="2"/>
    <w:lvlOverride w:ilvl="0"/>
    <w:lvlOverride w:ilvl="1"/>
    <w:lvlOverride w:ilvl="2"/>
    <w:lvlOverride w:ilvl="3"/>
    <w:lvlOverride w:ilvl="4"/>
    <w:lvlOverride w:ilvl="5"/>
    <w:lvlOverride w:ilvl="6"/>
    <w:lvlOverride w:ilvl="7"/>
    <w:lvlOverride w:ilvl="8"/>
  </w:num>
  <w:num w:numId="19" w16cid:durableId="666712390">
    <w:abstractNumId w:val="4"/>
    <w:lvlOverride w:ilvl="0"/>
    <w:lvlOverride w:ilvl="1"/>
    <w:lvlOverride w:ilvl="2"/>
    <w:lvlOverride w:ilvl="3"/>
    <w:lvlOverride w:ilvl="4"/>
    <w:lvlOverride w:ilvl="5"/>
    <w:lvlOverride w:ilvl="6"/>
    <w:lvlOverride w:ilvl="7"/>
    <w:lvlOverride w:ilvl="8"/>
  </w:num>
  <w:num w:numId="20" w16cid:durableId="206719695">
    <w:abstractNumId w:val="12"/>
    <w:lvlOverride w:ilvl="0"/>
    <w:lvlOverride w:ilvl="1"/>
    <w:lvlOverride w:ilvl="2"/>
    <w:lvlOverride w:ilvl="3"/>
    <w:lvlOverride w:ilvl="4"/>
    <w:lvlOverride w:ilvl="5"/>
    <w:lvlOverride w:ilvl="6"/>
    <w:lvlOverride w:ilvl="7"/>
    <w:lvlOverride w:ilvl="8"/>
  </w:num>
  <w:num w:numId="21" w16cid:durableId="1018387924">
    <w:abstractNumId w:val="19"/>
    <w:lvlOverride w:ilvl="0"/>
    <w:lvlOverride w:ilvl="1"/>
    <w:lvlOverride w:ilvl="2"/>
    <w:lvlOverride w:ilvl="3"/>
    <w:lvlOverride w:ilvl="4"/>
    <w:lvlOverride w:ilvl="5"/>
    <w:lvlOverride w:ilvl="6"/>
    <w:lvlOverride w:ilvl="7"/>
    <w:lvlOverride w:ilvl="8"/>
  </w:num>
  <w:num w:numId="22" w16cid:durableId="292173036">
    <w:abstractNumId w:val="17"/>
    <w:lvlOverride w:ilvl="0"/>
    <w:lvlOverride w:ilvl="1"/>
    <w:lvlOverride w:ilvl="2"/>
    <w:lvlOverride w:ilvl="3"/>
    <w:lvlOverride w:ilvl="4"/>
    <w:lvlOverride w:ilvl="5"/>
    <w:lvlOverride w:ilvl="6"/>
    <w:lvlOverride w:ilvl="7"/>
    <w:lvlOverride w:ilvl="8"/>
  </w:num>
  <w:num w:numId="23" w16cid:durableId="1259675604">
    <w:abstractNumId w:val="11"/>
    <w:lvlOverride w:ilvl="0"/>
    <w:lvlOverride w:ilvl="1"/>
    <w:lvlOverride w:ilvl="2"/>
    <w:lvlOverride w:ilvl="3"/>
    <w:lvlOverride w:ilvl="4"/>
    <w:lvlOverride w:ilvl="5"/>
    <w:lvlOverride w:ilvl="6"/>
    <w:lvlOverride w:ilvl="7"/>
    <w:lvlOverride w:ilvl="8"/>
  </w:num>
  <w:num w:numId="24" w16cid:durableId="1034617140">
    <w:abstractNumId w:val="8"/>
    <w:lvlOverride w:ilvl="0"/>
    <w:lvlOverride w:ilvl="1"/>
    <w:lvlOverride w:ilvl="2"/>
    <w:lvlOverride w:ilvl="3"/>
    <w:lvlOverride w:ilvl="4"/>
    <w:lvlOverride w:ilvl="5"/>
    <w:lvlOverride w:ilvl="6"/>
    <w:lvlOverride w:ilvl="7"/>
    <w:lvlOverride w:ilvl="8"/>
  </w:num>
  <w:num w:numId="25" w16cid:durableId="244925659">
    <w:abstractNumId w:val="24"/>
    <w:lvlOverride w:ilvl="0"/>
    <w:lvlOverride w:ilvl="1"/>
    <w:lvlOverride w:ilvl="2"/>
    <w:lvlOverride w:ilvl="3"/>
    <w:lvlOverride w:ilvl="4"/>
    <w:lvlOverride w:ilvl="5"/>
    <w:lvlOverride w:ilvl="6"/>
    <w:lvlOverride w:ilvl="7"/>
    <w:lvlOverride w:ilvl="8"/>
  </w:num>
  <w:num w:numId="26" w16cid:durableId="1142770035">
    <w:abstractNumId w:val="13"/>
    <w:lvlOverride w:ilvl="0"/>
    <w:lvlOverride w:ilvl="1"/>
    <w:lvlOverride w:ilvl="2"/>
    <w:lvlOverride w:ilvl="3"/>
    <w:lvlOverride w:ilvl="4"/>
    <w:lvlOverride w:ilvl="5"/>
    <w:lvlOverride w:ilvl="6"/>
    <w:lvlOverride w:ilvl="7"/>
    <w:lvlOverride w:ilvl="8"/>
  </w:num>
  <w:num w:numId="27" w16cid:durableId="74136035">
    <w:abstractNumId w:val="1"/>
    <w:lvlOverride w:ilvl="0"/>
    <w:lvlOverride w:ilvl="1"/>
    <w:lvlOverride w:ilvl="2"/>
    <w:lvlOverride w:ilvl="3"/>
    <w:lvlOverride w:ilvl="4"/>
    <w:lvlOverride w:ilvl="5"/>
    <w:lvlOverride w:ilvl="6"/>
    <w:lvlOverride w:ilvl="7"/>
    <w:lvlOverride w:ilvl="8"/>
  </w:num>
  <w:num w:numId="28" w16cid:durableId="128785873">
    <w:abstractNumId w:val="27"/>
    <w:lvlOverride w:ilvl="0"/>
    <w:lvlOverride w:ilvl="1"/>
    <w:lvlOverride w:ilvl="2"/>
    <w:lvlOverride w:ilvl="3"/>
    <w:lvlOverride w:ilvl="4"/>
    <w:lvlOverride w:ilvl="5"/>
    <w:lvlOverride w:ilvl="6"/>
    <w:lvlOverride w:ilvl="7"/>
    <w:lvlOverride w:ilvl="8"/>
  </w:num>
  <w:num w:numId="29" w16cid:durableId="1500733498">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8"/>
    <w:rsid w:val="000B1254"/>
    <w:rsid w:val="000D4D45"/>
    <w:rsid w:val="000F7839"/>
    <w:rsid w:val="00C75EE2"/>
    <w:rsid w:val="00DC4083"/>
    <w:rsid w:val="00ED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A988"/>
  <w15:chartTrackingRefBased/>
  <w15:docId w15:val="{67E0779C-4A2A-47F3-AAA7-5D4A2FE7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E28"/>
    <w:rPr>
      <w:rFonts w:eastAsiaTheme="majorEastAsia" w:cstheme="majorBidi"/>
      <w:color w:val="272727" w:themeColor="text1" w:themeTint="D8"/>
    </w:rPr>
  </w:style>
  <w:style w:type="paragraph" w:styleId="Title">
    <w:name w:val="Title"/>
    <w:basedOn w:val="Normal"/>
    <w:next w:val="Normal"/>
    <w:link w:val="TitleChar"/>
    <w:uiPriority w:val="10"/>
    <w:qFormat/>
    <w:rsid w:val="00ED5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E28"/>
    <w:pPr>
      <w:spacing w:before="160"/>
      <w:jc w:val="center"/>
    </w:pPr>
    <w:rPr>
      <w:i/>
      <w:iCs/>
      <w:color w:val="404040" w:themeColor="text1" w:themeTint="BF"/>
    </w:rPr>
  </w:style>
  <w:style w:type="character" w:customStyle="1" w:styleId="QuoteChar">
    <w:name w:val="Quote Char"/>
    <w:basedOn w:val="DefaultParagraphFont"/>
    <w:link w:val="Quote"/>
    <w:uiPriority w:val="29"/>
    <w:rsid w:val="00ED5E28"/>
    <w:rPr>
      <w:i/>
      <w:iCs/>
      <w:color w:val="404040" w:themeColor="text1" w:themeTint="BF"/>
    </w:rPr>
  </w:style>
  <w:style w:type="paragraph" w:styleId="ListParagraph">
    <w:name w:val="List Paragraph"/>
    <w:basedOn w:val="Normal"/>
    <w:uiPriority w:val="34"/>
    <w:qFormat/>
    <w:rsid w:val="00ED5E28"/>
    <w:pPr>
      <w:ind w:left="720"/>
      <w:contextualSpacing/>
    </w:pPr>
  </w:style>
  <w:style w:type="character" w:styleId="IntenseEmphasis">
    <w:name w:val="Intense Emphasis"/>
    <w:basedOn w:val="DefaultParagraphFont"/>
    <w:uiPriority w:val="21"/>
    <w:qFormat/>
    <w:rsid w:val="00ED5E28"/>
    <w:rPr>
      <w:i/>
      <w:iCs/>
      <w:color w:val="0F4761" w:themeColor="accent1" w:themeShade="BF"/>
    </w:rPr>
  </w:style>
  <w:style w:type="paragraph" w:styleId="IntenseQuote">
    <w:name w:val="Intense Quote"/>
    <w:basedOn w:val="Normal"/>
    <w:next w:val="Normal"/>
    <w:link w:val="IntenseQuoteChar"/>
    <w:uiPriority w:val="30"/>
    <w:qFormat/>
    <w:rsid w:val="00ED5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E28"/>
    <w:rPr>
      <w:i/>
      <w:iCs/>
      <w:color w:val="0F4761" w:themeColor="accent1" w:themeShade="BF"/>
    </w:rPr>
  </w:style>
  <w:style w:type="character" w:styleId="IntenseReference">
    <w:name w:val="Intense Reference"/>
    <w:basedOn w:val="DefaultParagraphFont"/>
    <w:uiPriority w:val="32"/>
    <w:qFormat/>
    <w:rsid w:val="00ED5E28"/>
    <w:rPr>
      <w:b/>
      <w:bCs/>
      <w:smallCaps/>
      <w:color w:val="0F4761" w:themeColor="accent1" w:themeShade="BF"/>
      <w:spacing w:val="5"/>
    </w:rPr>
  </w:style>
  <w:style w:type="character" w:styleId="Hyperlink">
    <w:name w:val="Hyperlink"/>
    <w:basedOn w:val="DefaultParagraphFont"/>
    <w:uiPriority w:val="99"/>
    <w:unhideWhenUsed/>
    <w:rsid w:val="00ED5E28"/>
    <w:rPr>
      <w:color w:val="467886" w:themeColor="hyperlink"/>
      <w:u w:val="single"/>
    </w:rPr>
  </w:style>
  <w:style w:type="character" w:styleId="UnresolvedMention">
    <w:name w:val="Unresolved Mention"/>
    <w:basedOn w:val="DefaultParagraphFont"/>
    <w:uiPriority w:val="99"/>
    <w:semiHidden/>
    <w:unhideWhenUsed/>
    <w:rsid w:val="00ED5E28"/>
    <w:rPr>
      <w:color w:val="605E5C"/>
      <w:shd w:val="clear" w:color="auto" w:fill="E1DFDD"/>
    </w:rPr>
  </w:style>
  <w:style w:type="paragraph" w:styleId="Header">
    <w:name w:val="header"/>
    <w:basedOn w:val="Normal"/>
    <w:link w:val="HeaderChar"/>
    <w:uiPriority w:val="99"/>
    <w:unhideWhenUsed/>
    <w:rsid w:val="00ED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E28"/>
  </w:style>
  <w:style w:type="paragraph" w:styleId="Footer">
    <w:name w:val="footer"/>
    <w:basedOn w:val="Normal"/>
    <w:link w:val="FooterChar"/>
    <w:uiPriority w:val="99"/>
    <w:unhideWhenUsed/>
    <w:rsid w:val="00ED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9253">
      <w:bodyDiv w:val="1"/>
      <w:marLeft w:val="0"/>
      <w:marRight w:val="0"/>
      <w:marTop w:val="0"/>
      <w:marBottom w:val="0"/>
      <w:divBdr>
        <w:top w:val="none" w:sz="0" w:space="0" w:color="auto"/>
        <w:left w:val="none" w:sz="0" w:space="0" w:color="auto"/>
        <w:bottom w:val="none" w:sz="0" w:space="0" w:color="auto"/>
        <w:right w:val="none" w:sz="0" w:space="0" w:color="auto"/>
      </w:divBdr>
    </w:div>
    <w:div w:id="556746578">
      <w:bodyDiv w:val="1"/>
      <w:marLeft w:val="0"/>
      <w:marRight w:val="0"/>
      <w:marTop w:val="0"/>
      <w:marBottom w:val="0"/>
      <w:divBdr>
        <w:top w:val="none" w:sz="0" w:space="0" w:color="auto"/>
        <w:left w:val="none" w:sz="0" w:space="0" w:color="auto"/>
        <w:bottom w:val="none" w:sz="0" w:space="0" w:color="auto"/>
        <w:right w:val="none" w:sz="0" w:space="0" w:color="auto"/>
      </w:divBdr>
    </w:div>
    <w:div w:id="1535388367">
      <w:bodyDiv w:val="1"/>
      <w:marLeft w:val="0"/>
      <w:marRight w:val="0"/>
      <w:marTop w:val="0"/>
      <w:marBottom w:val="0"/>
      <w:divBdr>
        <w:top w:val="none" w:sz="0" w:space="0" w:color="auto"/>
        <w:left w:val="none" w:sz="0" w:space="0" w:color="auto"/>
        <w:bottom w:val="none" w:sz="0" w:space="0" w:color="auto"/>
        <w:right w:val="none" w:sz="0" w:space="0" w:color="auto"/>
      </w:divBdr>
    </w:div>
    <w:div w:id="166678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gov.uk%2Fgovernment%2Fcollections%2Fprocurement-act-2023-guidance-documents&amp;data=05%7C02%7Charwink%40RBFRS.co.uk%7Ca8d855423e8046f2050308dd6bb42197%7C160c0d136d484da782386adedd6ff250%7C0%7C0%7C638785143614874257%7CUnknown%7CTWFpbGZsb3d8eyJFbXB0eU1hcGkiOnRydWUsIlYiOiIwLjAuMDAwMCIsIlAiOiJXaW4zMiIsIkFOIjoiTWFpbCIsIldUIjoyfQ%3D%3D%7C0%7C%7C%7C&amp;sdata=hBSpFtvKjArWnvqJuhqYGNn4Xm7mISkhoyD261tEVHE%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www.legislation.gov.uk%2Fukpga%2F2023%2F54%2Fschedule%2F2&amp;data=05%7C02%7Charwink%40RBFRS.co.uk%7Ca8d855423e8046f2050308dd6bb42197%7C160c0d136d484da782386adedd6ff250%7C0%7C0%7C638785143614853386%7CUnknown%7CTWFpbGZsb3d8eyJFbXB0eU1hcGkiOnRydWUsIlYiOiIwLjAuMDAwMCIsIlAiOiJXaW4zMiIsIkFOIjoiTWFpbCIsIldUIjoyfQ%3D%3D%7C0%7C%7C%7C&amp;sdata=tlL%2FB1YlUQs%2F%2B29hjp2FTxwZY%2FQQYqRLZPqG6N0cMr8%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assets.publishing.service.gov.uk%2Fmedia%2F657c4b101c0c2a000d18ce2a%2FPPN-11_23-New-Thresholds.pdf&amp;data=05%7C02%7Charwink%40RBFRS.co.uk%7Ca8d855423e8046f2050308dd6bb42197%7C160c0d136d484da782386adedd6ff250%7C0%7C0%7C638785143614824967%7CUnknown%7CTWFpbGZsb3d8eyJFbXB0eU1hcGkiOnRydWUsIlYiOiIwLjAuMDAwMCIsIlAiOiJXaW4zMiIsIkFOIjoiTWFpbCIsIldUIjoyfQ%3D%3D%7C0%7C%7C%7C&amp;sdata=TgaAkz%2Fjkcwe6lIlorsVI6g%2BKsri2UGH5qjnH8FGI18%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br01.safelinks.protection.outlook.com/?url=https%3A%2F%2Fassets.publishing.service.gov.uk%2Fmedia%2F657c4b101c0c2a000d18ce2a%2FPPN-11_23-New-Thresholds.pdf&amp;data=05%7C02%7Charwink%40RBFRS.co.uk%7Ca8d855423e8046f2050308dd6bb42197%7C160c0d136d484da782386adedd6ff250%7C0%7C0%7C638785143614791404%7CUnknown%7CTWFpbGZsb3d8eyJFbXB0eU1hcGkiOnRydWUsIlYiOiIwLjAuMDAwMCIsIlAiOiJXaW4zMiIsIkFOIjoiTWFpbCIsIldUIjoyfQ%3D%3D%7C0%7C%7C%7C&amp;sdata=PuL598gcNucdQjmSjbU7QP3EzznwAiKZDo5fP0s7wgo%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gov.uk%2Fgovernment%2Fcollections%2Fprocurement-policy-notes&amp;data=05%7C02%7Charwink%40RBFRS.co.uk%7Ca8d855423e8046f2050308dd6bb42197%7C160c0d136d484da782386adedd6ff250%7C0%7C0%7C638785143614891673%7CUnknown%7CTWFpbGZsb3d8eyJFbXB0eU1hcGkiOnRydWUsIlYiOiIwLjAuMDAwMCIsIlAiOiJXaW4zMiIsIkFOIjoiTWFpbCIsIldUIjoyfQ%3D%3D%7C0%7C%7C%7C&amp;sdata=tpyCmpbWtdp7riJamMA8FNFQq7GIu9BlNGiTl9Xvtq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6FBE9086CE44E90409AE40FFA1374" ma:contentTypeVersion="10" ma:contentTypeDescription="Create a new document." ma:contentTypeScope="" ma:versionID="6918dc95914148a9438c385d0752f792">
  <xsd:schema xmlns:xsd="http://www.w3.org/2001/XMLSchema" xmlns:xs="http://www.w3.org/2001/XMLSchema" xmlns:p="http://schemas.microsoft.com/office/2006/metadata/properties" xmlns:ns3="1e3b15c5-6a61-41e8-9931-6d6d6e6aef4b" targetNamespace="http://schemas.microsoft.com/office/2006/metadata/properties" ma:root="true" ma:fieldsID="d33d95b47d52a46a29483b9a82883049" ns3:_="">
    <xsd:import namespace="1e3b15c5-6a61-41e8-9931-6d6d6e6aef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b15c5-6a61-41e8-9931-6d6d6e6aef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3b15c5-6a61-41e8-9931-6d6d6e6aef4b" xsi:nil="true"/>
  </documentManagement>
</p:properties>
</file>

<file path=customXml/itemProps1.xml><?xml version="1.0" encoding="utf-8"?>
<ds:datastoreItem xmlns:ds="http://schemas.openxmlformats.org/officeDocument/2006/customXml" ds:itemID="{AF55197C-791F-4D95-8D51-77173FFA5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b15c5-6a61-41e8-9931-6d6d6e6ae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FDB7B-5B05-4CF0-81AE-DC91F0954C51}">
  <ds:schemaRefs>
    <ds:schemaRef ds:uri="http://schemas.microsoft.com/sharepoint/v3/contenttype/forms"/>
  </ds:schemaRefs>
</ds:datastoreItem>
</file>

<file path=customXml/itemProps3.xml><?xml version="1.0" encoding="utf-8"?>
<ds:datastoreItem xmlns:ds="http://schemas.openxmlformats.org/officeDocument/2006/customXml" ds:itemID="{03BE04BA-7625-4F08-85BA-5BCF355A1B77}">
  <ds:schemaRefs>
    <ds:schemaRef ds:uri="http://schemas.openxmlformats.org/package/2006/metadata/core-properties"/>
    <ds:schemaRef ds:uri="1e3b15c5-6a61-41e8-9931-6d6d6e6aef4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3391</Words>
  <Characters>19335</Characters>
  <Application>Microsoft Office Word</Application>
  <DocSecurity>0</DocSecurity>
  <Lines>161</Lines>
  <Paragraphs>45</Paragraphs>
  <ScaleCrop>false</ScaleCrop>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Harwin</dc:creator>
  <cp:keywords/>
  <dc:description/>
  <cp:lastModifiedBy>Katherine Harwin</cp:lastModifiedBy>
  <cp:revision>2</cp:revision>
  <dcterms:created xsi:type="dcterms:W3CDTF">2025-03-25T16:12:00Z</dcterms:created>
  <dcterms:modified xsi:type="dcterms:W3CDTF">2025-03-25T16:12:00Z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0x010100FB76FBE9086CE44E90409AE40FFA1374</vt:lpwstr>
  </property>
</Properties>
</file>